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8717E94" w:rsidR="00872FB8" w:rsidRPr="001F5EB2" w:rsidRDefault="00FD7993" w:rsidP="001F5EB2">
      <w:pPr>
        <w:spacing w:line="280" w:lineRule="auto"/>
        <w:jc w:val="right"/>
        <w:rPr>
          <w:sz w:val="26"/>
          <w:szCs w:val="26"/>
        </w:rPr>
      </w:pPr>
      <w:r w:rsidRPr="001F5EB2">
        <w:rPr>
          <w:sz w:val="26"/>
          <w:szCs w:val="26"/>
        </w:rPr>
        <w:t>МАТЕРИАЛ</w:t>
      </w:r>
      <w:r w:rsidR="001F5EB2">
        <w:rPr>
          <w:sz w:val="26"/>
          <w:szCs w:val="26"/>
        </w:rPr>
        <w:t xml:space="preserve"> </w:t>
      </w:r>
      <w:r w:rsidRPr="001F5EB2">
        <w:rPr>
          <w:sz w:val="26"/>
          <w:szCs w:val="26"/>
        </w:rPr>
        <w:t>для членов информационно-пропагандистских групп</w:t>
      </w:r>
    </w:p>
    <w:p w14:paraId="00000005" w14:textId="3511FA90" w:rsidR="00872FB8" w:rsidRPr="001F5EB2" w:rsidRDefault="00FD7993" w:rsidP="001F5EB2">
      <w:pPr>
        <w:spacing w:line="280" w:lineRule="auto"/>
        <w:jc w:val="right"/>
        <w:rPr>
          <w:sz w:val="26"/>
          <w:szCs w:val="26"/>
        </w:rPr>
      </w:pPr>
      <w:r w:rsidRPr="001F5EB2">
        <w:rPr>
          <w:sz w:val="26"/>
          <w:szCs w:val="26"/>
        </w:rPr>
        <w:t>(июль 2023 г.)</w:t>
      </w: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bookmarkStart w:id="0" w:name="_Hlk140224430"/>
      <w:bookmarkStart w:id="1" w:name="_GoBack"/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bookmarkEnd w:id="0"/>
    <w:bookmarkEnd w:id="1"/>
    <w:p w14:paraId="00000010" w14:textId="682DABF6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1. Демографическая безопасность – важнейшая составляющая национальной безопасности Республики Беларусь</w:t>
      </w:r>
    </w:p>
    <w:p w14:paraId="6C5728A5" w14:textId="77777777" w:rsidR="001F5EB2" w:rsidRDefault="00FD7993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 w:rsidR="001F5EB2">
        <w:rPr>
          <w:b/>
          <w:sz w:val="30"/>
          <w:szCs w:val="30"/>
        </w:rPr>
        <w:t>.</w:t>
      </w:r>
    </w:p>
    <w:p w14:paraId="00000012" w14:textId="66BF2AFD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2D77BC74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семьи;</w:t>
      </w:r>
    </w:p>
    <w:p w14:paraId="00000018" w14:textId="4BAADD4A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</w:t>
      </w:r>
      <w:r w:rsidR="001F5EB2">
        <w:rPr>
          <w:sz w:val="30"/>
          <w:szCs w:val="30"/>
        </w:rPr>
        <w:t>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негативные трансформации института семьи (снижение уровня </w:t>
      </w:r>
      <w:proofErr w:type="spellStart"/>
      <w:r>
        <w:rPr>
          <w:sz w:val="30"/>
          <w:szCs w:val="30"/>
        </w:rPr>
        <w:t>брачности</w:t>
      </w:r>
      <w:proofErr w:type="spellEnd"/>
      <w:r>
        <w:rPr>
          <w:sz w:val="30"/>
          <w:szCs w:val="30"/>
        </w:rPr>
        <w:t xml:space="preserve">, увеличение возраста вступления в первый брак, рост числа неполных семей, </w:t>
      </w:r>
      <w:proofErr w:type="spellStart"/>
      <w:r>
        <w:rPr>
          <w:sz w:val="30"/>
          <w:szCs w:val="30"/>
        </w:rPr>
        <w:t>овдовение</w:t>
      </w:r>
      <w:proofErr w:type="spellEnd"/>
      <w:r>
        <w:rPr>
          <w:sz w:val="30"/>
          <w:szCs w:val="30"/>
        </w:rPr>
        <w:t xml:space="preserve">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6" w14:textId="28C7CCAA" w:rsidR="00872FB8" w:rsidRDefault="00FD7993" w:rsidP="001F5E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</w:p>
    <w:p w14:paraId="0000002A" w14:textId="77777777" w:rsidR="00872FB8" w:rsidRDefault="00FD7993" w:rsidP="001F5EB2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Default="00FD7993" w:rsidP="001F5EB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 w:rsidP="001F5EB2">
      <w:pPr>
        <w:spacing w:after="120"/>
        <w:ind w:firstLine="709"/>
        <w:jc w:val="both"/>
        <w:rPr>
          <w:i/>
          <w:sz w:val="28"/>
          <w:szCs w:val="28"/>
        </w:rPr>
      </w:pPr>
      <w:bookmarkStart w:id="2" w:name="_gjdgxs" w:colFirst="0" w:colLast="0"/>
      <w:bookmarkEnd w:id="2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</w:p>
    <w:p w14:paraId="0000002F" w14:textId="77777777" w:rsidR="00872FB8" w:rsidRDefault="00FD7993" w:rsidP="001F5EB2">
      <w:pPr>
        <w:spacing w:after="12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8" w14:textId="403E454D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</w:t>
      </w:r>
      <w:proofErr w:type="gramStart"/>
      <w:r>
        <w:rPr>
          <w:sz w:val="30"/>
          <w:szCs w:val="30"/>
        </w:rPr>
        <w:t>убийства,  и</w:t>
      </w:r>
      <w:proofErr w:type="gramEnd"/>
      <w:r>
        <w:rPr>
          <w:sz w:val="30"/>
          <w:szCs w:val="30"/>
        </w:rPr>
        <w:t xml:space="preserve">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B" w14:textId="457C2E55" w:rsidR="00872FB8" w:rsidRPr="001F5EB2" w:rsidRDefault="00FD7993" w:rsidP="001F5EB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Основными особенностями смертности от внешних причин является ее </w:t>
      </w:r>
      <w:proofErr w:type="spellStart"/>
      <w:r>
        <w:rPr>
          <w:sz w:val="30"/>
          <w:szCs w:val="30"/>
        </w:rPr>
        <w:t>предотвратимость</w:t>
      </w:r>
      <w:proofErr w:type="spellEnd"/>
      <w:r>
        <w:rPr>
          <w:sz w:val="30"/>
          <w:szCs w:val="30"/>
        </w:rPr>
        <w:t xml:space="preserve">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45" w14:textId="480A46A6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9" w14:textId="718F2032" w:rsidR="00872FB8" w:rsidRPr="001F5EB2" w:rsidRDefault="00FD7993" w:rsidP="001F5EB2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</w:p>
    <w:p w14:paraId="00000052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 w:rsidP="00BD21B1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 w:rsidP="00BD21B1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>(воспитывающих ребенка-инвалида либо ребенка, инфицированного ВИЧ; из семей, в которых родители имеют 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 w:rsidP="00BD21B1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других детей в таких семьях – 176,07 руб.  (50% БПМ).</w:t>
      </w:r>
    </w:p>
    <w:p w14:paraId="0000005E" w14:textId="22F364AE" w:rsidR="00872FB8" w:rsidRDefault="00FD7993" w:rsidP="00BD21B1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выделено 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61D465D2" w14:textId="77777777" w:rsidR="00BD21B1" w:rsidRDefault="00FD7993" w:rsidP="00BD21B1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4" w14:textId="4534ED21" w:rsidR="00872FB8" w:rsidRDefault="00FD7993" w:rsidP="00BD21B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</w:t>
      </w:r>
      <w:r w:rsidR="00BD21B1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4 июля 2017 г. № </w:t>
      </w:r>
      <w:proofErr w:type="gramStart"/>
      <w:r>
        <w:rPr>
          <w:sz w:val="30"/>
          <w:szCs w:val="30"/>
        </w:rPr>
        <w:t>240 ”О</w:t>
      </w:r>
      <w:proofErr w:type="gramEnd"/>
      <w:r>
        <w:rPr>
          <w:sz w:val="30"/>
          <w:szCs w:val="30"/>
        </w:rPr>
        <w:t xml:space="preserve">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>на погашение основного долга в 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F" w14:textId="2B5C0BAE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</w:t>
      </w:r>
      <w:proofErr w:type="spellStart"/>
      <w:r>
        <w:rPr>
          <w:sz w:val="30"/>
          <w:szCs w:val="30"/>
        </w:rPr>
        <w:t>гг.Минск</w:t>
      </w:r>
      <w:proofErr w:type="spellEnd"/>
      <w:r>
        <w:rPr>
          <w:sz w:val="30"/>
          <w:szCs w:val="30"/>
        </w:rPr>
        <w:t>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>(до 20 часов в неделю</w:t>
      </w:r>
      <w:proofErr w:type="gramStart"/>
      <w:r>
        <w:rPr>
          <w:sz w:val="30"/>
          <w:szCs w:val="30"/>
        </w:rPr>
        <w:t>),  дети</w:t>
      </w:r>
      <w:proofErr w:type="gramEnd"/>
      <w:r>
        <w:rPr>
          <w:sz w:val="30"/>
          <w:szCs w:val="30"/>
        </w:rPr>
        <w:t xml:space="preserve">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оба родителя либо единственный родитель являются инвалидами 1 или 2 группы (до 20 часов в неделю).</w:t>
      </w:r>
    </w:p>
    <w:p w14:paraId="00000075" w14:textId="210F7EE9" w:rsidR="00872FB8" w:rsidRPr="007B6A00" w:rsidRDefault="00FD7993" w:rsidP="007B6A00">
      <w:pPr>
        <w:widowControl w:val="0"/>
        <w:spacing w:before="120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  <w:r w:rsidR="007B6A00">
        <w:rPr>
          <w:b/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 2022 году услугой няни воспользовались почти 2,5 тыс. семей, в том числе 1,6 тыс. – воспитывающих двойню (тройню).</w:t>
      </w:r>
    </w:p>
    <w:p w14:paraId="0000007C" w14:textId="6A3FABA2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(”Папа</w:t>
      </w:r>
      <w:proofErr w:type="gramEnd"/>
      <w:r>
        <w:rPr>
          <w:sz w:val="30"/>
          <w:szCs w:val="30"/>
        </w:rPr>
        <w:t xml:space="preserve">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</w:p>
    <w:p w14:paraId="0000007F" w14:textId="3F31F922" w:rsidR="00872FB8" w:rsidRDefault="00FD7993" w:rsidP="007B6A00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после окончания отпуска по уходу за ребенком наниматель обязан с согласия родителя продлить с ним контракт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13215CB1" w14:textId="77777777" w:rsidR="007B6A00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44527840" w14:textId="77777777" w:rsidR="007B6A00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B" w14:textId="5785D53D" w:rsidR="00872FB8" w:rsidRPr="007B6A00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7BFFFB79" w14:textId="77777777" w:rsidR="007B6A00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92" w14:textId="2588610D" w:rsidR="00872FB8" w:rsidRDefault="00FD7993" w:rsidP="007B6A00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Справочно</w:t>
      </w:r>
      <w:proofErr w:type="spellEnd"/>
      <w:r>
        <w:rPr>
          <w:b/>
          <w:i/>
          <w:sz w:val="28"/>
          <w:szCs w:val="28"/>
        </w:rPr>
        <w:t>:</w:t>
      </w:r>
    </w:p>
    <w:p w14:paraId="38CED870" w14:textId="77777777" w:rsidR="007B6A00" w:rsidRDefault="00FD7993" w:rsidP="007B6A0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7" w14:textId="74BAAEBF" w:rsidR="00872FB8" w:rsidRDefault="00FD7993" w:rsidP="007B6A00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</w:t>
      </w:r>
      <w:proofErr w:type="gramStart"/>
      <w:r>
        <w:rPr>
          <w:i/>
          <w:sz w:val="28"/>
          <w:szCs w:val="28"/>
        </w:rPr>
        <w:t>–  с</w:t>
      </w:r>
      <w:proofErr w:type="gramEnd"/>
      <w:r>
        <w:rPr>
          <w:i/>
          <w:sz w:val="28"/>
          <w:szCs w:val="28"/>
        </w:rPr>
        <w:t xml:space="preserve"> четырьмя, 5,3% – с пятью и более детьми. </w:t>
      </w:r>
    </w:p>
    <w:p w14:paraId="0E6964AA" w14:textId="7C478B58" w:rsidR="00177922" w:rsidRDefault="00FD7993" w:rsidP="00177922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A3" w14:textId="7348284B" w:rsidR="00872FB8" w:rsidRDefault="00177922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FD7993">
        <w:rPr>
          <w:b/>
          <w:sz w:val="30"/>
          <w:szCs w:val="30"/>
        </w:rPr>
        <w:t xml:space="preserve">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7B33C79A" w14:textId="77777777" w:rsidR="00F35BDC" w:rsidRDefault="00FD7993" w:rsidP="00F35BDC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</w:t>
      </w:r>
      <w:proofErr w:type="gramStart"/>
      <w:r>
        <w:rPr>
          <w:b/>
          <w:sz w:val="30"/>
          <w:szCs w:val="30"/>
        </w:rPr>
        <w:t>конкурс ”Семья</w:t>
      </w:r>
      <w:proofErr w:type="gramEnd"/>
      <w:r>
        <w:rPr>
          <w:b/>
          <w:sz w:val="30"/>
          <w:szCs w:val="30"/>
        </w:rPr>
        <w:t xml:space="preserve"> года“. </w:t>
      </w:r>
    </w:p>
    <w:p w14:paraId="000000B2" w14:textId="0C7D6778" w:rsidR="00872FB8" w:rsidRDefault="00FD7993" w:rsidP="00F35BDC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 xml:space="preserve">среди печатных и электронных средств массовой </w:t>
      </w:r>
      <w:proofErr w:type="gramStart"/>
      <w:r>
        <w:rPr>
          <w:b/>
          <w:sz w:val="30"/>
          <w:szCs w:val="30"/>
        </w:rPr>
        <w:t>информации</w:t>
      </w:r>
      <w:r>
        <w:rPr>
          <w:sz w:val="30"/>
          <w:szCs w:val="30"/>
        </w:rPr>
        <w:t xml:space="preserve"> ”Крепка</w:t>
      </w:r>
      <w:proofErr w:type="gramEnd"/>
      <w:r>
        <w:rPr>
          <w:sz w:val="30"/>
          <w:szCs w:val="30"/>
        </w:rPr>
        <w:t xml:space="preserve">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3" w14:textId="3F6AF951" w:rsidR="00872FB8" w:rsidRDefault="00F35BDC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FD7993">
        <w:rPr>
          <w:b/>
          <w:sz w:val="30"/>
          <w:szCs w:val="30"/>
        </w:rPr>
        <w:t>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6" w14:textId="320D4916" w:rsidR="00872FB8" w:rsidRDefault="00F35BD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FD7993">
        <w:rPr>
          <w:sz w:val="30"/>
          <w:szCs w:val="30"/>
        </w:rPr>
        <w:t xml:space="preserve">аша страна занимает </w:t>
      </w:r>
      <w:r w:rsidR="00FD7993"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 w:rsidR="00FD7993"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proofErr w:type="gramStart"/>
      <w:r>
        <w:rPr>
          <w:b/>
          <w:sz w:val="30"/>
          <w:szCs w:val="30"/>
        </w:rPr>
        <w:t>индексу ”смертность</w:t>
      </w:r>
      <w:proofErr w:type="gramEnd"/>
      <w:r>
        <w:rPr>
          <w:b/>
          <w:sz w:val="30"/>
          <w:szCs w:val="30"/>
        </w:rPr>
        <w:t xml:space="preserve">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249BBA13" w14:textId="77777777" w:rsidR="00F35BDC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</w:t>
      </w:r>
      <w:r w:rsidR="00F35BDC">
        <w:rPr>
          <w:sz w:val="30"/>
          <w:szCs w:val="30"/>
        </w:rPr>
        <w:t>.</w:t>
      </w:r>
    </w:p>
    <w:p w14:paraId="3D87653C" w14:textId="77777777" w:rsidR="00F35BDC" w:rsidRDefault="00F35BDC">
      <w:pPr>
        <w:widowControl w:val="0"/>
        <w:ind w:firstLine="709"/>
        <w:jc w:val="both"/>
        <w:rPr>
          <w:sz w:val="30"/>
          <w:szCs w:val="30"/>
        </w:rPr>
      </w:pPr>
    </w:p>
    <w:p w14:paraId="4FDDA6E3" w14:textId="77777777" w:rsidR="00F35BDC" w:rsidRDefault="00F35BDC">
      <w:pPr>
        <w:widowControl w:val="0"/>
        <w:ind w:firstLine="709"/>
        <w:jc w:val="both"/>
        <w:rPr>
          <w:sz w:val="30"/>
          <w:szCs w:val="30"/>
        </w:rPr>
      </w:pPr>
    </w:p>
    <w:p w14:paraId="6C0327E8" w14:textId="4924AFDA" w:rsidR="00F35BDC" w:rsidRPr="00F35BDC" w:rsidRDefault="00F35BDC" w:rsidP="00F35BDC">
      <w:pPr>
        <w:widowControl w:val="0"/>
        <w:jc w:val="both"/>
        <w:rPr>
          <w:sz w:val="30"/>
          <w:szCs w:val="30"/>
        </w:rPr>
      </w:pPr>
    </w:p>
    <w:sectPr w:rsidR="00F35BDC" w:rsidRPr="00F35BDC" w:rsidSect="001F5EB2">
      <w:headerReference w:type="default" r:id="rId7"/>
      <w:pgSz w:w="11906" w:h="16838"/>
      <w:pgMar w:top="426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D68A2" w14:textId="77777777" w:rsidR="00DA2142" w:rsidRDefault="00DA2142">
      <w:r>
        <w:separator/>
      </w:r>
    </w:p>
  </w:endnote>
  <w:endnote w:type="continuationSeparator" w:id="0">
    <w:p w14:paraId="5E222AD8" w14:textId="77777777" w:rsidR="00DA2142" w:rsidRDefault="00DA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8E6C" w14:textId="77777777" w:rsidR="00DA2142" w:rsidRDefault="00DA2142">
      <w:r>
        <w:separator/>
      </w:r>
    </w:p>
  </w:footnote>
  <w:footnote w:type="continuationSeparator" w:id="0">
    <w:p w14:paraId="12D498F9" w14:textId="77777777" w:rsidR="00DA2142" w:rsidRDefault="00DA2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323DA3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FB8"/>
    <w:rsid w:val="00177922"/>
    <w:rsid w:val="001F5EB2"/>
    <w:rsid w:val="00323DA3"/>
    <w:rsid w:val="007B6A00"/>
    <w:rsid w:val="00872FB8"/>
    <w:rsid w:val="00BD21B1"/>
    <w:rsid w:val="00DA2142"/>
    <w:rsid w:val="00F35BDC"/>
    <w:rsid w:val="00F82E38"/>
    <w:rsid w:val="00FD17C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A55F"/>
  <w15:docId w15:val="{FBC0EA2C-B031-4FD8-A512-6BBBC0BC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35B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1107-E83F-4FFE-B93D-6419431E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RePack by Diakov</cp:lastModifiedBy>
  <cp:revision>4</cp:revision>
  <cp:lastPrinted>2023-07-14T07:57:00Z</cp:lastPrinted>
  <dcterms:created xsi:type="dcterms:W3CDTF">2023-07-13T11:30:00Z</dcterms:created>
  <dcterms:modified xsi:type="dcterms:W3CDTF">2023-07-14T07:57:00Z</dcterms:modified>
</cp:coreProperties>
</file>