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B0" w:rsidRPr="00ED10BF" w:rsidRDefault="00000FB0" w:rsidP="00C6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D10BF">
        <w:rPr>
          <w:rFonts w:ascii="Times New Roman" w:hAnsi="Times New Roman"/>
          <w:b/>
          <w:sz w:val="30"/>
          <w:szCs w:val="30"/>
          <w:lang w:eastAsia="ru-RU"/>
        </w:rPr>
        <w:t>Справочно-аналитическая информация</w:t>
      </w:r>
    </w:p>
    <w:p w:rsidR="00882593" w:rsidRPr="00ED10BF" w:rsidRDefault="00000FB0" w:rsidP="00C6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D10BF">
        <w:rPr>
          <w:rFonts w:ascii="Times New Roman" w:hAnsi="Times New Roman"/>
          <w:b/>
          <w:sz w:val="30"/>
          <w:szCs w:val="30"/>
          <w:lang w:eastAsia="ru-RU"/>
        </w:rPr>
        <w:t>о</w:t>
      </w:r>
      <w:r w:rsidR="00882593" w:rsidRPr="00ED10BF">
        <w:rPr>
          <w:rFonts w:ascii="Times New Roman" w:hAnsi="Times New Roman"/>
          <w:b/>
          <w:sz w:val="30"/>
          <w:szCs w:val="30"/>
          <w:lang w:eastAsia="ru-RU"/>
        </w:rPr>
        <w:t xml:space="preserve">б итогах социально-экономического развития </w:t>
      </w:r>
    </w:p>
    <w:p w:rsidR="00882593" w:rsidRPr="00ED10BF" w:rsidRDefault="00882593" w:rsidP="00C6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D10BF">
        <w:rPr>
          <w:rFonts w:ascii="Times New Roman" w:hAnsi="Times New Roman"/>
          <w:b/>
          <w:sz w:val="30"/>
          <w:szCs w:val="30"/>
          <w:lang w:eastAsia="ru-RU"/>
        </w:rPr>
        <w:t xml:space="preserve">Брестской области за </w:t>
      </w:r>
      <w:r w:rsidR="00E176F9" w:rsidRPr="00ED10BF">
        <w:rPr>
          <w:rFonts w:ascii="Times New Roman" w:hAnsi="Times New Roman"/>
          <w:b/>
          <w:sz w:val="30"/>
          <w:szCs w:val="30"/>
          <w:lang w:eastAsia="ru-RU"/>
        </w:rPr>
        <w:t>январь-декабрь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 xml:space="preserve"> 2020 г</w:t>
      </w:r>
      <w:r w:rsidR="00E176F9" w:rsidRPr="00ED10BF"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882593" w:rsidRPr="00A45CAA" w:rsidRDefault="00882593" w:rsidP="00C6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D2715" w:rsidRPr="00ED10BF" w:rsidRDefault="00DE35D8" w:rsidP="00C6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Объем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валового регионального продукта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Брестской области в январе-</w:t>
      </w:r>
      <w:r w:rsidR="00E176F9" w:rsidRPr="00ED10BF">
        <w:rPr>
          <w:rFonts w:ascii="Times New Roman" w:hAnsi="Times New Roman"/>
          <w:sz w:val="30"/>
          <w:szCs w:val="30"/>
          <w:lang w:eastAsia="ru-RU"/>
        </w:rPr>
        <w:t>декабре</w:t>
      </w:r>
      <w:r w:rsidR="000F1C90">
        <w:rPr>
          <w:rFonts w:ascii="Times New Roman" w:hAnsi="Times New Roman"/>
          <w:sz w:val="30"/>
          <w:szCs w:val="3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D10BF">
          <w:rPr>
            <w:rFonts w:ascii="Times New Roman" w:hAnsi="Times New Roman"/>
            <w:sz w:val="30"/>
            <w:szCs w:val="30"/>
            <w:lang w:eastAsia="ru-RU"/>
          </w:rPr>
          <w:t>2020 г</w:t>
        </w:r>
      </w:smartTag>
      <w:r w:rsidRPr="00ED10BF">
        <w:rPr>
          <w:rFonts w:ascii="Times New Roman" w:hAnsi="Times New Roman"/>
          <w:sz w:val="30"/>
          <w:szCs w:val="30"/>
          <w:lang w:eastAsia="ru-RU"/>
        </w:rPr>
        <w:t xml:space="preserve">. составил </w:t>
      </w:r>
      <w:r w:rsidR="00E176F9" w:rsidRPr="00ED10BF">
        <w:rPr>
          <w:rFonts w:ascii="Times New Roman" w:hAnsi="Times New Roman"/>
          <w:sz w:val="30"/>
          <w:szCs w:val="30"/>
          <w:lang w:eastAsia="ru-RU"/>
        </w:rPr>
        <w:t>13,9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млрд. руб., или 99,</w:t>
      </w:r>
      <w:r w:rsidR="00E176F9" w:rsidRPr="00ED10BF">
        <w:rPr>
          <w:rFonts w:ascii="Times New Roman" w:hAnsi="Times New Roman"/>
          <w:sz w:val="30"/>
          <w:szCs w:val="30"/>
          <w:lang w:eastAsia="ru-RU"/>
        </w:rPr>
        <w:t>9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% </w:t>
      </w:r>
      <w:r w:rsidRPr="00ED10BF">
        <w:rPr>
          <w:rFonts w:ascii="Times New Roman" w:hAnsi="Times New Roman"/>
          <w:sz w:val="30"/>
          <w:szCs w:val="30"/>
          <w:lang w:eastAsia="ru-RU"/>
        </w:rPr>
        <w:br/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>(</w:t>
      </w:r>
      <w:r w:rsidR="003F2255"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3 место в республике, 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по республике темп роста ВВП - 99,1%)  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к уровню соответствующего периода 2019 года 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(задание на январь-декабрь </w:t>
      </w:r>
      <w:smartTag w:uri="urn:schemas-microsoft-com:office:smarttags" w:element="metricconverter">
        <w:smartTagPr>
          <w:attr w:name="ProductID" w:val="2020 г"/>
        </w:smartTagPr>
        <w:r w:rsidRPr="00ED10BF">
          <w:rPr>
            <w:rFonts w:ascii="Times New Roman" w:hAnsi="Times New Roman"/>
            <w:i/>
            <w:sz w:val="30"/>
            <w:szCs w:val="30"/>
            <w:lang w:eastAsia="ru-RU"/>
          </w:rPr>
          <w:t>2020 г</w:t>
        </w:r>
      </w:smartTag>
      <w:r w:rsidRPr="00ED10BF">
        <w:rPr>
          <w:rFonts w:ascii="Times New Roman" w:hAnsi="Times New Roman"/>
          <w:i/>
          <w:sz w:val="30"/>
          <w:szCs w:val="30"/>
          <w:lang w:eastAsia="ru-RU"/>
        </w:rPr>
        <w:t>. - 102,8%).</w:t>
      </w:r>
    </w:p>
    <w:p w:rsidR="00DE35D8" w:rsidRPr="00ED10BF" w:rsidRDefault="00DE35D8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Рост </w:t>
      </w:r>
      <w:r w:rsidR="006667B7" w:rsidRPr="00ED10BF">
        <w:rPr>
          <w:rFonts w:ascii="Times New Roman" w:hAnsi="Times New Roman"/>
          <w:sz w:val="30"/>
          <w:szCs w:val="30"/>
          <w:lang w:eastAsia="ru-RU"/>
        </w:rPr>
        <w:t xml:space="preserve">объема 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добавленной стоимости по сравнению с </w:t>
      </w:r>
      <w:smartTag w:uri="urn:schemas-microsoft-com:office:smarttags" w:element="metricconverter">
        <w:smartTagPr>
          <w:attr w:name="ProductID" w:val="2019 г"/>
        </w:smartTagPr>
        <w:r w:rsidRPr="00ED10BF">
          <w:rPr>
            <w:rFonts w:ascii="Times New Roman" w:hAnsi="Times New Roman"/>
            <w:sz w:val="30"/>
            <w:szCs w:val="30"/>
            <w:lang w:eastAsia="ru-RU"/>
          </w:rPr>
          <w:t>2019 г</w:t>
        </w:r>
        <w:r w:rsidR="00C259C0" w:rsidRPr="00ED10BF">
          <w:rPr>
            <w:rFonts w:ascii="Times New Roman" w:hAnsi="Times New Roman"/>
            <w:sz w:val="30"/>
            <w:szCs w:val="30"/>
            <w:lang w:eastAsia="ru-RU"/>
          </w:rPr>
          <w:t>одом</w:t>
        </w:r>
        <w:r w:rsidR="00C9403E">
          <w:rPr>
            <w:rFonts w:ascii="Times New Roman" w:hAnsi="Times New Roman"/>
            <w:sz w:val="30"/>
            <w:szCs w:val="30"/>
            <w:lang w:eastAsia="ru-RU"/>
          </w:rPr>
          <w:t xml:space="preserve"> </w:t>
        </w:r>
      </w:smartTag>
      <w:r w:rsidRPr="00ED10BF">
        <w:rPr>
          <w:rFonts w:ascii="Times New Roman" w:hAnsi="Times New Roman"/>
          <w:spacing w:val="-4"/>
          <w:sz w:val="30"/>
          <w:szCs w:val="30"/>
          <w:lang w:eastAsia="ru-RU"/>
        </w:rPr>
        <w:t>обеспечен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Pr="00ED10BF">
        <w:rPr>
          <w:rFonts w:ascii="Times New Roman" w:hAnsi="Times New Roman"/>
          <w:spacing w:val="-4"/>
          <w:sz w:val="30"/>
          <w:szCs w:val="30"/>
          <w:lang w:eastAsia="ru-RU"/>
        </w:rPr>
        <w:t xml:space="preserve">сельском, лесном и рыбном хозяйстве </w:t>
      </w:r>
      <w:r w:rsidRPr="00ED10BF">
        <w:rPr>
          <w:rFonts w:ascii="Times New Roman" w:hAnsi="Times New Roman"/>
          <w:sz w:val="30"/>
          <w:szCs w:val="30"/>
          <w:lang w:eastAsia="ru-RU"/>
        </w:rPr>
        <w:t>на</w:t>
      </w:r>
      <w:r w:rsidRPr="00ED10BF">
        <w:rPr>
          <w:rFonts w:ascii="Times New Roman" w:hAnsi="Times New Roman"/>
          <w:spacing w:val="-4"/>
          <w:sz w:val="30"/>
          <w:szCs w:val="30"/>
          <w:lang w:eastAsia="ru-RU"/>
        </w:rPr>
        <w:t xml:space="preserve"> 6,</w:t>
      </w:r>
      <w:r w:rsidR="00C259C0" w:rsidRPr="00ED10BF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Pr="00ED10BF">
        <w:rPr>
          <w:rFonts w:ascii="Times New Roman" w:hAnsi="Times New Roman"/>
          <w:spacing w:val="-4"/>
          <w:sz w:val="30"/>
          <w:szCs w:val="30"/>
          <w:lang w:eastAsia="ru-RU"/>
        </w:rPr>
        <w:t xml:space="preserve">%, 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в обрабатывающей промышленности на - </w:t>
      </w:r>
      <w:r w:rsidR="00C259C0" w:rsidRPr="00ED10BF">
        <w:rPr>
          <w:rFonts w:ascii="Times New Roman" w:hAnsi="Times New Roman"/>
          <w:sz w:val="30"/>
          <w:szCs w:val="30"/>
          <w:lang w:eastAsia="ru-RU"/>
        </w:rPr>
        <w:t>3,2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%; в снабжении  электроэнергией, газом, паром, горячей водой – на </w:t>
      </w:r>
      <w:r w:rsidR="00C259C0" w:rsidRPr="00ED10BF">
        <w:rPr>
          <w:rFonts w:ascii="Times New Roman" w:hAnsi="Times New Roman"/>
          <w:sz w:val="30"/>
          <w:szCs w:val="30"/>
          <w:lang w:eastAsia="ru-RU"/>
        </w:rPr>
        <w:t>1,6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%; </w:t>
      </w:r>
      <w:r w:rsidR="00C259C0" w:rsidRPr="00ED10BF">
        <w:rPr>
          <w:rFonts w:ascii="Times New Roman" w:hAnsi="Times New Roman"/>
          <w:sz w:val="30"/>
          <w:szCs w:val="30"/>
          <w:lang w:eastAsia="ru-RU"/>
        </w:rPr>
        <w:t xml:space="preserve">в оптовой и розничной торговле, ремонте автомобилей и мотоциклов – на 0,1%; 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по информации и связи – на 6,4%, в финансовой и страховой деятельности – на </w:t>
      </w:r>
      <w:r w:rsidR="00C259C0" w:rsidRPr="00ED10BF">
        <w:rPr>
          <w:rFonts w:ascii="Times New Roman" w:hAnsi="Times New Roman"/>
          <w:sz w:val="30"/>
          <w:szCs w:val="30"/>
          <w:lang w:eastAsia="ru-RU"/>
        </w:rPr>
        <w:t>0,9</w:t>
      </w:r>
      <w:r w:rsidRPr="00ED10BF">
        <w:rPr>
          <w:rFonts w:ascii="Times New Roman" w:hAnsi="Times New Roman"/>
          <w:sz w:val="30"/>
          <w:szCs w:val="30"/>
          <w:lang w:eastAsia="ru-RU"/>
        </w:rPr>
        <w:t>%.</w:t>
      </w:r>
    </w:p>
    <w:p w:rsidR="001D5C86" w:rsidRPr="00ED10BF" w:rsidRDefault="002F2C45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В 2020 году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завершился пятилетний программный период. За 2016 -2020 гг. </w:t>
      </w:r>
      <w:r w:rsidR="00BD266A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темп роста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объем</w:t>
      </w:r>
      <w:r w:rsidR="00BD266A" w:rsidRPr="00ED10BF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F1C9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валового регионального продукта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области </w:t>
      </w:r>
      <w:r w:rsidR="00BD266A" w:rsidRPr="00ED10BF">
        <w:rPr>
          <w:rFonts w:ascii="Times New Roman" w:eastAsia="Times New Roman" w:hAnsi="Times New Roman"/>
          <w:sz w:val="30"/>
          <w:szCs w:val="30"/>
          <w:lang w:eastAsia="ru-RU"/>
        </w:rPr>
        <w:t>составил</w:t>
      </w:r>
      <w:r w:rsidR="000F1C9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D266A"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8,7%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(при прогнозе 112,5%</w:t>
      </w:r>
      <w:r w:rsidR="00E67F08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в соответствии с областной пятилетней программой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).</w:t>
      </w:r>
      <w:r w:rsidR="001D5C86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Это </w:t>
      </w:r>
      <w:r w:rsidR="001D5C86"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2 место</w:t>
      </w:r>
      <w:r w:rsidR="001D5C86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в республике по темпам прироста</w:t>
      </w:r>
      <w:r w:rsidR="00156A66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r w:rsidR="00BD266A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после Минской области (прирост на 11,1%), </w:t>
      </w:r>
      <w:r w:rsidR="00156A66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по республике прирост за пятилетку составил 3,1%)</w:t>
      </w:r>
      <w:r w:rsidR="001D5C86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 </w:t>
      </w:r>
    </w:p>
    <w:p w:rsidR="005F1601" w:rsidRPr="00ED10BF" w:rsidRDefault="005F1601" w:rsidP="00C64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промышленном секторе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области по итогам работы за 2020 год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рост объемов производства отмечен в обрабатывающей промышленности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(темп роста 103,3%)и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снабжении электроэнергией, газом, теплом (101,4%). Отмечено падение объемов производства в </w:t>
      </w:r>
      <w:r w:rsidRPr="00ED10BF">
        <w:rPr>
          <w:rFonts w:ascii="Times New Roman" w:hAnsi="Times New Roman"/>
          <w:sz w:val="30"/>
          <w:szCs w:val="30"/>
          <w:lang w:eastAsia="ru-RU"/>
        </w:rPr>
        <w:t>горнодобывающей промышленности (95%) и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водоснабжении, удалении отходов (99%). </w:t>
      </w:r>
    </w:p>
    <w:p w:rsidR="005F1601" w:rsidRPr="00ED10BF" w:rsidRDefault="005F1601" w:rsidP="00C64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Как результат -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ИФО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сложился на уровне 102,7%.</w:t>
      </w:r>
    </w:p>
    <w:p w:rsidR="006F46DA" w:rsidRPr="00ED10BF" w:rsidRDefault="006F46DA" w:rsidP="00C64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За 2016-2020 гг. прирост составил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122,7%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(при </w:t>
      </w:r>
      <w:r w:rsidR="00B76BED" w:rsidRPr="00ED10BF">
        <w:rPr>
          <w:rFonts w:ascii="Times New Roman" w:hAnsi="Times New Roman"/>
          <w:i/>
          <w:sz w:val="30"/>
          <w:szCs w:val="30"/>
          <w:lang w:eastAsia="ru-RU"/>
        </w:rPr>
        <w:t>прогнозе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 114,2%).</w:t>
      </w:r>
    </w:p>
    <w:p w:rsidR="005F1601" w:rsidRPr="00ED10BF" w:rsidRDefault="005F1601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В обрабатывающей промышленности рост производства обеспечен в 6 из 13 подсекций, в том числе в пищевой – темп роста 104,6% </w:t>
      </w:r>
      <w:r w:rsidRPr="00ED10BF">
        <w:rPr>
          <w:rFonts w:ascii="Times New Roman" w:eastAsia="SimSun" w:hAnsi="Times New Roman"/>
          <w:i/>
          <w:spacing w:val="-6"/>
          <w:kern w:val="32"/>
          <w:sz w:val="30"/>
          <w:szCs w:val="30"/>
          <w:lang w:eastAsia="zh-CN"/>
        </w:rPr>
        <w:t>(в рыбопереработке – 102,7%, мясопереработке – 109,8%, производстве сыров – 103%, масла сливочного – 114,9%, цельномолочной продукции – 106,3%)</w:t>
      </w:r>
      <w:r w:rsidRPr="00ED10BF">
        <w:rPr>
          <w:rFonts w:ascii="Times New Roman" w:hAnsi="Times New Roman"/>
          <w:sz w:val="30"/>
          <w:szCs w:val="30"/>
          <w:lang w:eastAsia="ru-RU"/>
        </w:rPr>
        <w:t>,легкой промышленности – 109,3%;деревообработке – 103,1%; стройиндустрии – 101,4%.</w:t>
      </w:r>
    </w:p>
    <w:p w:rsidR="005F1601" w:rsidRPr="00ED10BF" w:rsidRDefault="005F1601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Сводный темп роста производства по машиностроительным подсекциям составил 107%, приросли объемы в производстве вычислительной, электронной и оптической аппаратуры (темп 163,5%), производстве электрооборудования (102,1%), производстве транспортных </w:t>
      </w:r>
      <w:r w:rsidR="008A0522">
        <w:rPr>
          <w:rFonts w:ascii="Times New Roman" w:hAnsi="Times New Roman"/>
          <w:sz w:val="30"/>
          <w:szCs w:val="30"/>
          <w:lang w:eastAsia="ru-RU"/>
        </w:rPr>
        <w:t>средств и оборудования (в 3,2 р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). </w:t>
      </w:r>
    </w:p>
    <w:p w:rsidR="005F1601" w:rsidRPr="00ED10BF" w:rsidRDefault="005F1601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По-прежнему сохраняется опережающий рост производства в организациях местного и без ведомственного подчинения по сравнению с предприятиями республиканского сектора. </w:t>
      </w:r>
    </w:p>
    <w:p w:rsidR="00B408A7" w:rsidRPr="00ED10BF" w:rsidRDefault="005F1601" w:rsidP="00AF052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882593" w:rsidRPr="00ED10BF">
        <w:rPr>
          <w:rFonts w:ascii="Times New Roman" w:hAnsi="Times New Roman"/>
          <w:sz w:val="30"/>
          <w:szCs w:val="30"/>
        </w:rPr>
        <w:t xml:space="preserve">Сохранена положительная динамика в </w:t>
      </w:r>
      <w:r w:rsidR="00882593" w:rsidRPr="00ED10BF">
        <w:rPr>
          <w:rFonts w:ascii="Times New Roman" w:hAnsi="Times New Roman"/>
          <w:b/>
          <w:sz w:val="30"/>
          <w:szCs w:val="30"/>
        </w:rPr>
        <w:t>сельском хозяйстве</w:t>
      </w:r>
      <w:r w:rsidR="00882593" w:rsidRPr="00ED10BF">
        <w:rPr>
          <w:rFonts w:ascii="Times New Roman" w:hAnsi="Times New Roman"/>
          <w:sz w:val="30"/>
          <w:szCs w:val="30"/>
        </w:rPr>
        <w:t>.</w:t>
      </w:r>
    </w:p>
    <w:p w:rsidR="00A70CE4" w:rsidRPr="00ED10BF" w:rsidRDefault="00A70CE4" w:rsidP="00C64C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ED10BF">
        <w:rPr>
          <w:rFonts w:ascii="Times New Roman" w:hAnsi="Times New Roman"/>
          <w:iCs/>
          <w:sz w:val="30"/>
          <w:szCs w:val="30"/>
          <w:lang w:eastAsia="ru-RU"/>
        </w:rPr>
        <w:t>За 2016-2020 гг. в сельском хозяйстве области обеспечен самый высокий в республике</w:t>
      </w:r>
      <w:r w:rsidR="00C9403E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r w:rsidRPr="00ED10BF">
        <w:rPr>
          <w:rFonts w:ascii="Times New Roman" w:hAnsi="Times New Roman"/>
          <w:iCs/>
          <w:sz w:val="30"/>
          <w:szCs w:val="30"/>
          <w:lang w:eastAsia="ru-RU"/>
        </w:rPr>
        <w:t xml:space="preserve">темп роста валовой продукции сельского хозяйства: во всех категориях хозяйств области составил 122,4% при среднереспубликанском показателе 112,2%, в том числе в сельхозорганизациях и крестьянских (фермерских) хозяйствах –128,7% </w:t>
      </w:r>
      <w:r w:rsidRPr="00ED10BF">
        <w:rPr>
          <w:rFonts w:ascii="Times New Roman" w:hAnsi="Times New Roman"/>
          <w:i/>
          <w:iCs/>
          <w:sz w:val="30"/>
          <w:szCs w:val="30"/>
          <w:lang w:eastAsia="ru-RU"/>
        </w:rPr>
        <w:t>(</w:t>
      </w:r>
      <w:r w:rsidR="00452B1F" w:rsidRPr="00ED10BF">
        <w:rPr>
          <w:rFonts w:ascii="Times New Roman" w:hAnsi="Times New Roman"/>
          <w:i/>
          <w:iCs/>
          <w:sz w:val="30"/>
          <w:szCs w:val="30"/>
          <w:lang w:eastAsia="ru-RU"/>
        </w:rPr>
        <w:t xml:space="preserve">прогноз 119%, </w:t>
      </w:r>
      <w:r w:rsidRPr="00ED10BF">
        <w:rPr>
          <w:rFonts w:ascii="Times New Roman" w:hAnsi="Times New Roman"/>
          <w:i/>
          <w:iCs/>
          <w:sz w:val="30"/>
          <w:szCs w:val="30"/>
          <w:lang w:eastAsia="ru-RU"/>
        </w:rPr>
        <w:t xml:space="preserve">по республике – 116,2%). </w:t>
      </w:r>
    </w:p>
    <w:p w:rsidR="00B408A7" w:rsidRPr="00ED10BF" w:rsidRDefault="00B408A7" w:rsidP="00C64C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За январь-декабрь 2020 г. темп роста валовой продукции сельского хозяйства во всех категориях хозяйств области составил 106,1%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(второе место в республике, по республике – 104,9%),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в том числе в сельхозорганизациях и крестьянских (фермерских) хозяйствах – 108,2%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(третье место в республике, по республике – 106,9%).</w:t>
      </w:r>
    </w:p>
    <w:p w:rsidR="00B408A7" w:rsidRPr="00ED10BF" w:rsidRDefault="00B408A7" w:rsidP="00C64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Производство молока увеличено на 6,5% и составило 1854,6 тыс. т, выращивание крупного рогатого скота – на 3,7% и составило 146,5 тыс. т, свиней – на 11,8% и составило 67,0 тыс. т, птицы – на 2,3% и составило 100,7 тыс. т.</w:t>
      </w:r>
    </w:p>
    <w:p w:rsidR="00B408A7" w:rsidRPr="00ED10BF" w:rsidRDefault="00B408A7" w:rsidP="00C64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К уровню 2019 года средний удой молока на корову увеличился на 321 кг и составил 6453 кг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(первое место в республике, по республике – 5314 кг),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среднесуточные привесы крупного рогатого скота на выращивании и откорме выросли на 17 г до 680 г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(второе место в республике, по республике – 600 г)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, свиней –  на 22 г до 719 г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(первое место в республике, по республике – 622 г)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408A7" w:rsidRPr="00ED10BF" w:rsidRDefault="00B408A7" w:rsidP="00C64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Улучшилось качество молока: сортами «экстра» и «высший» реализовано 96,4% молока, что на 1,6 п.п. больше, чем за аналогичный период 2019 года, в том числе сортом «экстра» – 74,4% («плюс» 8,2 п.п.). Товарность молока составила 91,2% (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первое место, по республике – 90,2%).</w:t>
      </w:r>
    </w:p>
    <w:p w:rsidR="004B31C8" w:rsidRPr="00ED10BF" w:rsidRDefault="00B408A7" w:rsidP="00C64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Валовой сбор зерна в сельскохозяйственных организациях вырос на 11,9% до 1,4 млн. т, урожайность увеличилась на 3,5 ц/га и составила  37,9 ц/га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(третье место в республике, по республике – 35,1 ц/га)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C9403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маслосемян рапса – на 26,3% до 137,9 тыс. т, урожайность увеличилась на 3,6 ц/га и составила  24,2 ц/га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(второе место в республике, по республике – 20,5 ц/га)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.Накопано 711 тыс. т сахарной свеклы (90,4%) при урожайности  436 ц/га («плюс» 13 ц/га).</w:t>
      </w:r>
    </w:p>
    <w:p w:rsidR="00BD58AE" w:rsidRPr="00ED10BF" w:rsidRDefault="00BD58AE" w:rsidP="00C64C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В 2020 году в сельском хозяйстве области продолжалась работа по модернизации производства. </w:t>
      </w:r>
    </w:p>
    <w:p w:rsidR="000F1C90" w:rsidRDefault="00BD58AE" w:rsidP="00C64C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Было приобретено 1256 единиц различной сельскохозяйственной техники, в том числе 165 тракторов, 60 зерно- и 46 кормоуборочных комбайнов, 113 кормораздатчиков комбайнов. </w:t>
      </w:r>
    </w:p>
    <w:p w:rsidR="00BD58AE" w:rsidRPr="00ED10BF" w:rsidRDefault="00BD58AE" w:rsidP="00C64C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lastRenderedPageBreak/>
        <w:t>Построили (реконструировали) и ввели в эксплуатацию 48 молочно-товарных ферм, в результате на современные технологии переведено 71% поголовья дойного стада. Для обеспечения сохранности заготавливаемых кормов было построено 142 сенажно-силосных траншеи общим объемом хранения 379,6 тыс. тонн.</w:t>
      </w:r>
    </w:p>
    <w:p w:rsidR="00393665" w:rsidRPr="00ED10BF" w:rsidRDefault="00393665" w:rsidP="00C64C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Фактический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ввод жилья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за счет всех источников за 2020 год </w:t>
      </w:r>
      <w:r w:rsidRPr="00ED10BF">
        <w:rPr>
          <w:rFonts w:ascii="Times New Roman" w:hAnsi="Times New Roman"/>
          <w:sz w:val="30"/>
          <w:szCs w:val="30"/>
          <w:lang w:eastAsia="ru-RU"/>
        </w:rPr>
        <w:br/>
        <w:t>по области составил 650,809 тыс. кв. м (темп – 94,9 %), или 100,1% к годовому заданию. Объем ввода жилья для граждан, состоящих на учете нуждающихся в улучшении жилищных условий с государственной поддержкой, составил 317,129 тыс. кв. м, или 144,8% к годовому заданию.</w:t>
      </w:r>
    </w:p>
    <w:p w:rsidR="006667B7" w:rsidRPr="00ED10BF" w:rsidRDefault="006667B7" w:rsidP="00C64C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>Для многодетных семей в 2020 году введено в эксплуатацию жилых помещений в количестве 2661 ед. при задании 2100 ед.</w:t>
      </w:r>
    </w:p>
    <w:p w:rsidR="00393665" w:rsidRPr="00ED10BF" w:rsidRDefault="00393665" w:rsidP="00C64C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Индивидуальными застройщиками в 2020 году введено в эксплуатацию 292,964 тыс. кв. м, что составляет 45% в общем вводе жилья по области. </w:t>
      </w:r>
    </w:p>
    <w:p w:rsidR="00260E35" w:rsidRPr="00ED10BF" w:rsidRDefault="00260E35" w:rsidP="00C64C17">
      <w:pPr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За 2016-2020 гг. за счет всех источников финансирования  фактически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 xml:space="preserve">введено 3265 </w:t>
      </w:r>
      <w:r w:rsidRPr="00ED10BF">
        <w:rPr>
          <w:rFonts w:ascii="Times New Roman" w:hAnsi="Times New Roman"/>
          <w:sz w:val="30"/>
          <w:szCs w:val="30"/>
          <w:lang w:eastAsia="ru-RU"/>
        </w:rPr>
        <w:t>тыс. кв. м жилья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>(при задании 2568 тыс. кв. м).</w:t>
      </w:r>
    </w:p>
    <w:p w:rsidR="00393665" w:rsidRPr="00ED10BF" w:rsidRDefault="00393665" w:rsidP="00C64C17">
      <w:pPr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За 2020 год темп роста объемов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строительно-монтажных работ</w:t>
      </w:r>
      <w:r w:rsidRPr="00ED10BF">
        <w:rPr>
          <w:rFonts w:ascii="Times New Roman" w:hAnsi="Times New Roman"/>
          <w:sz w:val="30"/>
          <w:szCs w:val="30"/>
          <w:lang w:eastAsia="ru-RU"/>
        </w:rPr>
        <w:br/>
        <w:t>по области составил 94,8% в сопоставимых ценах (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>объем СМР -              1 694,7 млн. руб.).</w:t>
      </w:r>
      <w:r w:rsidR="009F5771" w:rsidRPr="00ED10BF">
        <w:rPr>
          <w:rFonts w:ascii="Times New Roman" w:hAnsi="Times New Roman"/>
          <w:sz w:val="30"/>
          <w:szCs w:val="30"/>
          <w:lang w:eastAsia="ru-RU"/>
        </w:rPr>
        <w:t xml:space="preserve">За пятилетку темп роста составил 92,5% </w:t>
      </w:r>
      <w:r w:rsidR="00971584" w:rsidRPr="00ED10BF">
        <w:rPr>
          <w:rFonts w:ascii="Times New Roman" w:hAnsi="Times New Roman"/>
          <w:i/>
          <w:sz w:val="30"/>
          <w:szCs w:val="30"/>
          <w:lang w:eastAsia="ru-RU"/>
        </w:rPr>
        <w:t>(</w:t>
      </w:r>
      <w:r w:rsidR="009F5771" w:rsidRPr="00ED10BF">
        <w:rPr>
          <w:rFonts w:ascii="Times New Roman" w:hAnsi="Times New Roman"/>
          <w:i/>
          <w:sz w:val="30"/>
          <w:szCs w:val="30"/>
          <w:lang w:eastAsia="ru-RU"/>
        </w:rPr>
        <w:t>при задании 87,9%</w:t>
      </w:r>
      <w:r w:rsidR="00971584" w:rsidRPr="00ED10BF">
        <w:rPr>
          <w:rFonts w:ascii="Times New Roman" w:hAnsi="Times New Roman"/>
          <w:i/>
          <w:sz w:val="30"/>
          <w:szCs w:val="30"/>
          <w:lang w:eastAsia="ru-RU"/>
        </w:rPr>
        <w:t>)</w:t>
      </w:r>
      <w:r w:rsidR="009F5771" w:rsidRPr="00ED10BF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:rsidR="00393665" w:rsidRPr="00ED10BF" w:rsidRDefault="00393665" w:rsidP="00C64C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Основные источники  формирования объемов СМР в 2020 году -строительство жилья, объемы инвестиций в основной капитал </w:t>
      </w:r>
      <w:r w:rsidRPr="00ED10BF">
        <w:rPr>
          <w:rFonts w:ascii="Times New Roman" w:hAnsi="Times New Roman"/>
          <w:sz w:val="30"/>
          <w:szCs w:val="30"/>
          <w:lang w:eastAsia="ru-RU"/>
        </w:rPr>
        <w:br/>
        <w:t xml:space="preserve">по стройкам и объектам, предусмотренным Государственной и региональной инвестиционными программами, а также объемы работ </w:t>
      </w:r>
      <w:r w:rsidRPr="00ED10BF">
        <w:rPr>
          <w:rFonts w:ascii="Times New Roman" w:hAnsi="Times New Roman"/>
          <w:sz w:val="30"/>
          <w:szCs w:val="30"/>
          <w:lang w:eastAsia="ru-RU"/>
        </w:rPr>
        <w:br/>
        <w:t>по строительству и реконструкции производственных объектов агропромышленного комплекса области.</w:t>
      </w:r>
    </w:p>
    <w:p w:rsidR="00015566" w:rsidRPr="00ED10BF" w:rsidRDefault="00015566" w:rsidP="00C64C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Обеспечена загрузка строительных организаций, подчиненных местным исполнительным и распорядительным органам, - выполнено </w:t>
      </w:r>
      <w:r w:rsidRPr="004D772F">
        <w:rPr>
          <w:rFonts w:ascii="Times New Roman" w:hAnsi="Times New Roman"/>
          <w:b/>
          <w:sz w:val="30"/>
          <w:szCs w:val="30"/>
          <w:lang w:eastAsia="ru-RU"/>
        </w:rPr>
        <w:t>подрядных работ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на сумму 577,9 млн. руб</w:t>
      </w:r>
      <w:r w:rsidR="00102508" w:rsidRPr="00ED10BF">
        <w:rPr>
          <w:rFonts w:ascii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>(удельный вес – 40,3%),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темп роста –  101,6% в сопоставимых ценах, </w:t>
      </w:r>
      <w:r w:rsidR="00102508" w:rsidRPr="00ED10BF">
        <w:rPr>
          <w:rFonts w:ascii="Times New Roman" w:hAnsi="Times New Roman"/>
          <w:sz w:val="30"/>
          <w:szCs w:val="30"/>
          <w:lang w:eastAsia="ru-RU"/>
        </w:rPr>
        <w:t xml:space="preserve">в том числе КУП «Брестжилстрой» – 113,0 %, </w:t>
      </w:r>
      <w:r w:rsidRPr="00ED10BF">
        <w:rPr>
          <w:rFonts w:ascii="Times New Roman" w:hAnsi="Times New Roman"/>
          <w:sz w:val="30"/>
          <w:szCs w:val="30"/>
          <w:lang w:eastAsia="ru-RU"/>
        </w:rPr>
        <w:t>ГППСУП «Объединение Брестоблсельстрой» –  112,6%</w:t>
      </w:r>
      <w:r w:rsidR="00102508" w:rsidRPr="00ED10B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ED10BF">
        <w:rPr>
          <w:rFonts w:ascii="Times New Roman" w:hAnsi="Times New Roman"/>
          <w:sz w:val="30"/>
          <w:szCs w:val="30"/>
          <w:lang w:eastAsia="ru-RU"/>
        </w:rPr>
        <w:t>КУП «Брестоблдорстрой» – 97,9%</w:t>
      </w:r>
      <w:r w:rsidR="00102508" w:rsidRPr="00ED10B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0A1D7E" w:rsidRPr="00ED10BF">
        <w:rPr>
          <w:rFonts w:ascii="Times New Roman" w:hAnsi="Times New Roman"/>
          <w:sz w:val="30"/>
          <w:szCs w:val="30"/>
          <w:lang w:eastAsia="ru-RU"/>
        </w:rPr>
        <w:t>КУП «Брестводстрой» – 86,9</w:t>
      </w:r>
      <w:r w:rsidRPr="00ED10BF">
        <w:rPr>
          <w:rFonts w:ascii="Times New Roman" w:hAnsi="Times New Roman"/>
          <w:sz w:val="30"/>
          <w:szCs w:val="30"/>
          <w:lang w:eastAsia="ru-RU"/>
        </w:rPr>
        <w:t>%</w:t>
      </w:r>
      <w:r w:rsidR="00102508" w:rsidRPr="00ED10B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ED10BF">
        <w:rPr>
          <w:rFonts w:ascii="Times New Roman" w:hAnsi="Times New Roman"/>
          <w:sz w:val="30"/>
          <w:szCs w:val="30"/>
          <w:lang w:eastAsia="ru-RU"/>
        </w:rPr>
        <w:t>ОАО «Пинсксовхозстрой» – 80,4%.</w:t>
      </w:r>
    </w:p>
    <w:p w:rsidR="00AE3519" w:rsidRPr="00ED10BF" w:rsidRDefault="00AE3519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Задание на 2020 год по объему </w:t>
      </w: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экспорта строительных, инженерных и архитектурных услуг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по организациям, подчиненным местным Советам депутатов, исполнительным и распорядительным органам, и без ведомственной подчиненности, доведенное постановлением Совета Министров Республики Беларусь от 16 июня 2016 г. № 469, выполнено на 213,8 % (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факт за 2020 год – 30 355,1 тыс. долл. США при задании 13 600-14 200 тыс. долл. США на 2020 год)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из них по оказываемым услугам при возведении объектов жилищного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строительства за пределами территории РБ на 222,9 % от годового задания (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факт – 3 054,3 тыс. долл. США при  задании 1 370 тыс. долл. США).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Темп роста объемов экспорта строительных, инженерных и архитектурных услуг по ним составил 100,4 %.</w:t>
      </w:r>
    </w:p>
    <w:p w:rsidR="00AE3519" w:rsidRPr="00ED10BF" w:rsidRDefault="00AE3519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Основное направление развития экспорта строительных услуг организаций области – это активная работа по поиску объемов работ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за пределами территории Республики Беларусь. За 2020 год объем данных работ увеличился на 3,7 % и составил 15 513,8 тыс. долл. США. </w:t>
      </w:r>
    </w:p>
    <w:p w:rsidR="005D000D" w:rsidRPr="00ED10BF" w:rsidRDefault="00D3048E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ED10BF">
        <w:rPr>
          <w:rFonts w:ascii="Times New Roman" w:eastAsia="Times New Roman" w:hAnsi="Times New Roman"/>
          <w:sz w:val="30"/>
          <w:szCs w:val="30"/>
        </w:rPr>
        <w:t xml:space="preserve">В </w:t>
      </w:r>
      <w:r w:rsidRPr="00ED10BF">
        <w:rPr>
          <w:rFonts w:ascii="Times New Roman" w:eastAsia="Times New Roman" w:hAnsi="Times New Roman"/>
          <w:b/>
          <w:sz w:val="30"/>
          <w:szCs w:val="30"/>
        </w:rPr>
        <w:t xml:space="preserve">торговле </w:t>
      </w:r>
      <w:r w:rsidR="005D000D" w:rsidRPr="00ED10BF">
        <w:rPr>
          <w:rFonts w:ascii="Times New Roman" w:eastAsia="Times New Roman" w:hAnsi="Times New Roman"/>
          <w:sz w:val="30"/>
          <w:szCs w:val="30"/>
        </w:rPr>
        <w:t xml:space="preserve">за 2016-2020 гг. объем розничного товарооборота через все каналы реализации увеличился на 16,6% </w:t>
      </w:r>
      <w:r w:rsidR="005D000D" w:rsidRPr="00ED10BF">
        <w:rPr>
          <w:rFonts w:ascii="Times New Roman" w:eastAsia="Times New Roman" w:hAnsi="Times New Roman"/>
          <w:i/>
          <w:sz w:val="30"/>
          <w:szCs w:val="30"/>
        </w:rPr>
        <w:t>(при задании по темпу роста 109,5%).</w:t>
      </w:r>
    </w:p>
    <w:p w:rsidR="00EF22A7" w:rsidRPr="00ED10BF" w:rsidRDefault="005D000D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D10BF">
        <w:rPr>
          <w:rFonts w:ascii="Times New Roman" w:eastAsia="Times New Roman" w:hAnsi="Times New Roman"/>
          <w:sz w:val="30"/>
          <w:szCs w:val="30"/>
        </w:rPr>
        <w:t>Т</w:t>
      </w:r>
      <w:r w:rsidR="00D3048E" w:rsidRPr="00ED10BF">
        <w:rPr>
          <w:rFonts w:ascii="Times New Roman" w:eastAsia="Times New Roman" w:hAnsi="Times New Roman"/>
          <w:sz w:val="30"/>
          <w:szCs w:val="30"/>
        </w:rPr>
        <w:t xml:space="preserve">емп роста </w:t>
      </w:r>
      <w:r w:rsidR="00D3048E" w:rsidRPr="00ED10BF">
        <w:rPr>
          <w:rFonts w:ascii="Times New Roman" w:eastAsia="Times New Roman" w:hAnsi="Times New Roman"/>
          <w:b/>
          <w:sz w:val="30"/>
          <w:szCs w:val="30"/>
        </w:rPr>
        <w:t>розничного товарооборота</w:t>
      </w:r>
      <w:r w:rsidR="00D3048E" w:rsidRPr="00ED10BF">
        <w:rPr>
          <w:rFonts w:ascii="Times New Roman" w:eastAsia="Times New Roman" w:hAnsi="Times New Roman"/>
          <w:sz w:val="30"/>
          <w:szCs w:val="30"/>
        </w:rPr>
        <w:t xml:space="preserve"> через все каналы реализации за январь-декабрь 2020 г. составил 100,3% (5 место в ре</w:t>
      </w:r>
      <w:r w:rsidR="00206AFC">
        <w:rPr>
          <w:rFonts w:ascii="Times New Roman" w:eastAsia="Times New Roman" w:hAnsi="Times New Roman"/>
          <w:sz w:val="30"/>
          <w:szCs w:val="30"/>
        </w:rPr>
        <w:t>спублике, по республике 101,8%)</w:t>
      </w:r>
      <w:r w:rsidR="007F3953">
        <w:rPr>
          <w:rFonts w:ascii="Times New Roman" w:eastAsia="Times New Roman" w:hAnsi="Times New Roman"/>
          <w:sz w:val="30"/>
          <w:szCs w:val="30"/>
        </w:rPr>
        <w:t>.</w:t>
      </w:r>
    </w:p>
    <w:p w:rsidR="00192EF6" w:rsidRPr="00ED10BF" w:rsidRDefault="00192EF6" w:rsidP="00C64C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Доля продаж товаров отечественного производства в объеме розничного товарооборота организаций торговли в 2020 году составила 65% (в 2019 году – 66,5%), в том числе продовольственные товары – 78,7% (в 2019 году – 78,6%), непродовольственные товары - 48,3% (в 2019 году – 51,9%). </w:t>
      </w:r>
    </w:p>
    <w:p w:rsidR="00192EF6" w:rsidRPr="00ED10BF" w:rsidRDefault="00192EF6" w:rsidP="00C64C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Вместе с тем, в результате принятых мер обеспеч</w:t>
      </w:r>
      <w:r w:rsidR="00031F99" w:rsidRPr="00ED10BF">
        <w:rPr>
          <w:rFonts w:ascii="Times New Roman" w:eastAsia="Times New Roman" w:hAnsi="Times New Roman"/>
          <w:sz w:val="30"/>
          <w:szCs w:val="30"/>
          <w:lang w:eastAsia="ru-RU"/>
        </w:rPr>
        <w:t>ена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положительн</w:t>
      </w:r>
      <w:r w:rsidR="00031F99" w:rsidRPr="00ED10BF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динамик</w:t>
      </w:r>
      <w:r w:rsidR="00031F99" w:rsidRPr="00ED10BF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роста товаров отечественного: за </w:t>
      </w:r>
      <w:r w:rsidR="00FA690A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апрель - декабрь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2020 г</w:t>
      </w:r>
      <w:r w:rsidR="00FA690A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удельный вес отечественных товаров в продажах торговых организаций вырос на 0,2 п.п. по сравнению с 1 квартал</w:t>
      </w:r>
      <w:r w:rsidR="00986650" w:rsidRPr="00ED10BF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2020 г</w:t>
      </w:r>
      <w:r w:rsidR="00986650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(показатель первого квартала -  64,8%). </w:t>
      </w:r>
    </w:p>
    <w:p w:rsidR="00660B21" w:rsidRPr="00ED10BF" w:rsidRDefault="00660B21" w:rsidP="00C64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По итогам января-декабря 2020 г. темп роста </w:t>
      </w:r>
      <w:r w:rsidRPr="00ED10BF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>инвестиций в основной капитал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по области составил 94</w:t>
      </w:r>
      <w:r w:rsidRPr="00ED10B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,2% </w:t>
      </w:r>
      <w:r w:rsidRPr="00ED10B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(3,2 млрд</w:t>
      </w:r>
      <w:r w:rsidRPr="00ED10BF">
        <w:rPr>
          <w:rFonts w:ascii="Times New Roman" w:eastAsia="Times New Roman" w:hAnsi="Times New Roman"/>
          <w:i/>
          <w:kern w:val="2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 рублей). 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Снижение темпа отмечается в целом по республике </w:t>
      </w:r>
      <w:r w:rsidRPr="00ED10BF">
        <w:rPr>
          <w:rFonts w:ascii="Times New Roman" w:eastAsia="Times New Roman" w:hAnsi="Times New Roman"/>
          <w:i/>
          <w:kern w:val="2"/>
          <w:sz w:val="30"/>
          <w:szCs w:val="30"/>
          <w:lang w:eastAsia="ru-RU"/>
        </w:rPr>
        <w:t xml:space="preserve">(темп роста - 93,2%),  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область находится на третьем месте после Минской </w:t>
      </w:r>
      <w:r w:rsidRPr="00ED10BF">
        <w:rPr>
          <w:rFonts w:ascii="Times New Roman" w:eastAsia="Times New Roman" w:hAnsi="Times New Roman"/>
          <w:i/>
          <w:kern w:val="2"/>
          <w:sz w:val="30"/>
          <w:szCs w:val="30"/>
          <w:lang w:eastAsia="ru-RU"/>
        </w:rPr>
        <w:t>(100,5%)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и Витебской </w:t>
      </w:r>
      <w:r w:rsidRPr="00ED10BF">
        <w:rPr>
          <w:rFonts w:ascii="Times New Roman" w:eastAsia="Times New Roman" w:hAnsi="Times New Roman"/>
          <w:i/>
          <w:kern w:val="2"/>
          <w:sz w:val="30"/>
          <w:szCs w:val="30"/>
          <w:lang w:eastAsia="ru-RU"/>
        </w:rPr>
        <w:t>(99,9%)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областей.</w:t>
      </w:r>
    </w:p>
    <w:p w:rsidR="00AE2407" w:rsidRPr="00ED10BF" w:rsidRDefault="00AE2407" w:rsidP="00C64C17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По итогам 2020 года </w:t>
      </w:r>
      <w:r w:rsidR="00003C60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</w:t>
      </w:r>
      <w:r w:rsidR="00003C60"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оступление </w:t>
      </w:r>
      <w:r w:rsidRPr="00ED10BF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>прямы</w:t>
      </w:r>
      <w:r w:rsidR="00003C60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>х</w:t>
      </w:r>
      <w:r w:rsidRPr="00ED10BF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 xml:space="preserve"> иностранны</w:t>
      </w:r>
      <w:r w:rsidR="00003C60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 xml:space="preserve">х </w:t>
      </w:r>
      <w:r w:rsidRPr="00ED10BF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>инвестици</w:t>
      </w:r>
      <w:r w:rsidR="00003C60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>й</w:t>
      </w:r>
      <w:r w:rsidRPr="00ED10BF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 xml:space="preserve"> на чистой основе</w:t>
      </w:r>
      <w:r w:rsidR="000B076F" w:rsidRPr="00ED10BF">
        <w:rPr>
          <w:rFonts w:ascii="Times New Roman" w:hAnsi="Times New Roman"/>
          <w:sz w:val="30"/>
          <w:szCs w:val="30"/>
          <w:lang w:eastAsia="ru-RU"/>
        </w:rPr>
        <w:t xml:space="preserve"> (без учета  задолженности за товары, работы)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составило 71,5 млн. долл.</w:t>
      </w:r>
      <w:r w:rsidR="000B076F"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США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AE2407" w:rsidRPr="00ED10BF" w:rsidRDefault="00AE2407" w:rsidP="00C64C17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Основная сумма инвестиций </w:t>
      </w:r>
      <w:r w:rsidR="00611E89"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- 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порядка 77% от общего поступления</w:t>
      </w:r>
      <w:r w:rsidR="00611E89"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, или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55,0  млн. долл</w:t>
      </w:r>
      <w:r w:rsidR="00611E89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США</w:t>
      </w:r>
      <w:r w:rsidR="00611E89" w:rsidRPr="00ED10BF">
        <w:rPr>
          <w:rFonts w:ascii="Times New Roman" w:eastAsia="Times New Roman" w:hAnsi="Times New Roman"/>
          <w:sz w:val="30"/>
          <w:szCs w:val="30"/>
          <w:lang w:eastAsia="ru-RU"/>
        </w:rPr>
        <w:t>, -</w:t>
      </w:r>
      <w:r w:rsidRPr="00ED10B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обеспечена за счет реинвестированной прибыли по ранее реализованным проектам.</w:t>
      </w:r>
    </w:p>
    <w:p w:rsidR="00AE2407" w:rsidRPr="00ED10BF" w:rsidRDefault="00AE2407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ED10BF">
        <w:rPr>
          <w:rFonts w:ascii="Times New Roman" w:eastAsia="Times New Roman" w:hAnsi="Times New Roman"/>
          <w:sz w:val="30"/>
          <w:szCs w:val="30"/>
        </w:rPr>
        <w:t xml:space="preserve">Наибольший интерес для иностранных инвесторов представляет обрабатывающая промышленность </w:t>
      </w:r>
      <w:r w:rsidRPr="00ED10BF">
        <w:rPr>
          <w:rFonts w:ascii="Times New Roman" w:eastAsia="Times New Roman" w:hAnsi="Times New Roman"/>
          <w:i/>
          <w:sz w:val="30"/>
          <w:szCs w:val="30"/>
        </w:rPr>
        <w:t>(39,8 млн. долл</w:t>
      </w:r>
      <w:r w:rsidR="00611E89" w:rsidRPr="00ED10BF">
        <w:rPr>
          <w:rFonts w:ascii="Times New Roman" w:eastAsia="Times New Roman" w:hAnsi="Times New Roman"/>
          <w:i/>
          <w:sz w:val="30"/>
          <w:szCs w:val="30"/>
        </w:rPr>
        <w:t>.</w:t>
      </w:r>
      <w:r w:rsidRPr="00ED10BF">
        <w:rPr>
          <w:rFonts w:ascii="Times New Roman" w:eastAsia="Times New Roman" w:hAnsi="Times New Roman"/>
          <w:i/>
          <w:sz w:val="30"/>
          <w:szCs w:val="30"/>
        </w:rPr>
        <w:t xml:space="preserve"> США</w:t>
      </w:r>
      <w:r w:rsidR="00611E89" w:rsidRPr="00ED10BF">
        <w:rPr>
          <w:rFonts w:ascii="Times New Roman" w:eastAsia="Times New Roman" w:hAnsi="Times New Roman"/>
          <w:i/>
          <w:sz w:val="30"/>
          <w:szCs w:val="30"/>
        </w:rPr>
        <w:t>,</w:t>
      </w:r>
      <w:r w:rsidRPr="00ED10BF">
        <w:rPr>
          <w:rFonts w:ascii="Times New Roman" w:eastAsia="Times New Roman" w:hAnsi="Times New Roman"/>
          <w:i/>
          <w:sz w:val="30"/>
          <w:szCs w:val="30"/>
        </w:rPr>
        <w:t xml:space="preserve"> или 56% от общего поступления).</w:t>
      </w:r>
    </w:p>
    <w:p w:rsidR="00AE2407" w:rsidRPr="00ED10BF" w:rsidRDefault="00A83B78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D10BF">
        <w:rPr>
          <w:rFonts w:ascii="Times New Roman" w:eastAsia="Times New Roman" w:hAnsi="Times New Roman"/>
          <w:sz w:val="30"/>
          <w:szCs w:val="30"/>
        </w:rPr>
        <w:t>В</w:t>
      </w:r>
      <w:r w:rsidR="00AE2407" w:rsidRPr="00ED10BF">
        <w:rPr>
          <w:rFonts w:ascii="Times New Roman" w:eastAsia="Times New Roman" w:hAnsi="Times New Roman"/>
          <w:sz w:val="30"/>
          <w:szCs w:val="30"/>
        </w:rPr>
        <w:t xml:space="preserve"> область инвестиции поступают из 37 стран мира.</w:t>
      </w:r>
    </w:p>
    <w:p w:rsidR="00AE2407" w:rsidRPr="00ED10BF" w:rsidRDefault="00AE2407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Основные страны-доноры прямых иностранных инвестиций – Германия (28,7 млн. долл</w:t>
      </w:r>
      <w:r w:rsidR="00A83B78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США (увеличение к соответствующему периоду 2019 года на 3,3 млн. долл</w:t>
      </w:r>
      <w:r w:rsidR="00A83B78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США), Россия (13,4 млн. долл</w:t>
      </w:r>
      <w:r w:rsidR="00A83B78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США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(снижение  на 3,2  млн. долларов США)), Великобритания (6,5 млн. долл</w:t>
      </w:r>
      <w:r w:rsidR="00A83B78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США (снижение на 169,2 тыс. долл</w:t>
      </w:r>
      <w:r w:rsidR="00A83B78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9403E">
        <w:rPr>
          <w:rFonts w:ascii="Times New Roman" w:eastAsia="Times New Roman" w:hAnsi="Times New Roman"/>
          <w:sz w:val="30"/>
          <w:szCs w:val="30"/>
          <w:lang w:eastAsia="ru-RU"/>
        </w:rPr>
        <w:t xml:space="preserve"> США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AE2407" w:rsidRPr="00ED10BF" w:rsidRDefault="00AE2407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D10BF">
        <w:rPr>
          <w:rFonts w:ascii="Times New Roman" w:eastAsia="Times New Roman" w:hAnsi="Times New Roman"/>
          <w:sz w:val="30"/>
          <w:szCs w:val="30"/>
        </w:rPr>
        <w:t>В 2020 году новыми странами-донорами прямых иностранных инвестиций стали Маршалловы острова (211,0 тыс. долл</w:t>
      </w:r>
      <w:r w:rsidR="00A83B78" w:rsidRPr="00ED10BF">
        <w:rPr>
          <w:rFonts w:ascii="Times New Roman" w:eastAsia="Times New Roman" w:hAnsi="Times New Roman"/>
          <w:sz w:val="30"/>
          <w:szCs w:val="30"/>
        </w:rPr>
        <w:t>.</w:t>
      </w:r>
      <w:r w:rsidRPr="00ED10BF">
        <w:rPr>
          <w:rFonts w:ascii="Times New Roman" w:eastAsia="Times New Roman" w:hAnsi="Times New Roman"/>
          <w:sz w:val="30"/>
          <w:szCs w:val="30"/>
        </w:rPr>
        <w:t xml:space="preserve"> США),  Болгария (117,1  тыс. долл</w:t>
      </w:r>
      <w:r w:rsidR="00A83B78" w:rsidRPr="00ED10BF">
        <w:rPr>
          <w:rFonts w:ascii="Times New Roman" w:eastAsia="Times New Roman" w:hAnsi="Times New Roman"/>
          <w:sz w:val="30"/>
          <w:szCs w:val="30"/>
        </w:rPr>
        <w:t>.</w:t>
      </w:r>
      <w:r w:rsidRPr="00ED10BF">
        <w:rPr>
          <w:rFonts w:ascii="Times New Roman" w:eastAsia="Times New Roman" w:hAnsi="Times New Roman"/>
          <w:sz w:val="30"/>
          <w:szCs w:val="30"/>
        </w:rPr>
        <w:t xml:space="preserve"> США), Грузия (15,3 тыс. долл</w:t>
      </w:r>
      <w:r w:rsidR="00A83B78" w:rsidRPr="00ED10BF">
        <w:rPr>
          <w:rFonts w:ascii="Times New Roman" w:eastAsia="Times New Roman" w:hAnsi="Times New Roman"/>
          <w:sz w:val="30"/>
          <w:szCs w:val="30"/>
        </w:rPr>
        <w:t>.</w:t>
      </w:r>
      <w:r w:rsidRPr="00ED10BF">
        <w:rPr>
          <w:rFonts w:ascii="Times New Roman" w:eastAsia="Times New Roman" w:hAnsi="Times New Roman"/>
          <w:sz w:val="30"/>
          <w:szCs w:val="30"/>
        </w:rPr>
        <w:t xml:space="preserve"> США), Франция (13,0 тыс. долл</w:t>
      </w:r>
      <w:r w:rsidR="00A83B78" w:rsidRPr="00ED10BF">
        <w:rPr>
          <w:rFonts w:ascii="Times New Roman" w:eastAsia="Times New Roman" w:hAnsi="Times New Roman"/>
          <w:sz w:val="30"/>
          <w:szCs w:val="30"/>
        </w:rPr>
        <w:t>.</w:t>
      </w:r>
      <w:r w:rsidRPr="00ED10BF">
        <w:rPr>
          <w:rFonts w:ascii="Times New Roman" w:eastAsia="Times New Roman" w:hAnsi="Times New Roman"/>
          <w:sz w:val="30"/>
          <w:szCs w:val="30"/>
        </w:rPr>
        <w:t xml:space="preserve"> США)  и Ирландия (3,6 тыс. долл</w:t>
      </w:r>
      <w:r w:rsidR="00A83B78" w:rsidRPr="00ED10BF">
        <w:rPr>
          <w:rFonts w:ascii="Times New Roman" w:eastAsia="Times New Roman" w:hAnsi="Times New Roman"/>
          <w:sz w:val="30"/>
          <w:szCs w:val="30"/>
        </w:rPr>
        <w:t>.</w:t>
      </w:r>
      <w:r w:rsidRPr="00ED10BF">
        <w:rPr>
          <w:rFonts w:ascii="Times New Roman" w:eastAsia="Times New Roman" w:hAnsi="Times New Roman"/>
          <w:sz w:val="30"/>
          <w:szCs w:val="30"/>
        </w:rPr>
        <w:t xml:space="preserve"> США).</w:t>
      </w:r>
    </w:p>
    <w:p w:rsidR="00D368B1" w:rsidRPr="00ED10B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По итогам 2020 г.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экспорт товаров по области в целом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составил 2634,2 млн. долл. США при темпе роста 101,8%, положительное сальдо составило 793,2 млн. долл. США.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По организациям без учета предприятий республиканского подчинения, а также нефти и нефтепродуктов экспорт товаров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составил 2163,1 млн. долл. США, или 104,5% при задании на 2020 год 103,9%. Сальдо сложилось положительное в размере 598,1 млн. долл. США.</w:t>
      </w:r>
    </w:p>
    <w:p w:rsidR="00D368B1" w:rsidRPr="00ED10B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>Традиционно область удерживает 1 место в республике по объемам экспорта сельхозпродукции и продуктов питания. За январь-декабрь 2020 г. объем экспорта по оперативным данным составил 1380,8 млн. долл. США, темп роста 103,6%.</w:t>
      </w:r>
    </w:p>
    <w:p w:rsidR="002A155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>В целях наращивания экспорта предприятиями области проводится работа по диверсификации рынков сбыта. За январь-декабрь 2020 г. экспортные поставки осуществлялись в 108 стран. Открыто 11 новых рынков сбыта</w:t>
      </w:r>
      <w:r w:rsidR="002A155F">
        <w:rPr>
          <w:rFonts w:ascii="Times New Roman" w:hAnsi="Times New Roman"/>
          <w:sz w:val="30"/>
          <w:szCs w:val="30"/>
          <w:lang w:eastAsia="ru-RU"/>
        </w:rPr>
        <w:t>.</w:t>
      </w:r>
    </w:p>
    <w:p w:rsidR="00D368B1" w:rsidRPr="00ED10B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>По предприятиям области без учета субъектов хозяйствования республиканского подчинения отмечается рост экспорта в страны ЕС на 19,3% (экспорт составил 329,6 млн. долл. США). В страны «дальней дуги» экспорт за 2020 г</w:t>
      </w:r>
      <w:r w:rsidR="00922AF6" w:rsidRPr="00ED10BF">
        <w:rPr>
          <w:rFonts w:ascii="Times New Roman" w:hAnsi="Times New Roman"/>
          <w:sz w:val="30"/>
          <w:szCs w:val="30"/>
          <w:lang w:eastAsia="ru-RU"/>
        </w:rPr>
        <w:t>од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составил 102,9 млн. долл. США и вырос почти в 2 раза (187,2%) в сравнении с 2019 годом.</w:t>
      </w:r>
    </w:p>
    <w:p w:rsidR="00D368B1" w:rsidRPr="00ED10B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Одним из приоритетных направлений работы по диверсификации экспорта является развитие сотрудничества с Китаем. За 12 месяцев             2020 г. экспортные поставки в КНР (в том числе в Гонконг и Тайвань) выросли в 2,1 раза в сравнении с январем-декабрем 2019 г. и составили 79,3 млн. долл. США при задании на 2020 г. 40 млн. долл. США. Значительно выросли поставки лесоматериалов, изделий из камня, молочной сыворотки, рапсового и соевого  масла, сгущенного молока. </w:t>
      </w:r>
    </w:p>
    <w:p w:rsidR="00D368B1" w:rsidRPr="00ED10B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Экспорт услуг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по области в целом по итогам января-декабря              2020 г. составил 383,3 млн. долл. США при темпе роста 79,7%, положительное сальдо составило 205,1 млн. долл. США. </w:t>
      </w:r>
    </w:p>
    <w:p w:rsidR="00D368B1" w:rsidRPr="00ED10BF" w:rsidRDefault="00D368B1" w:rsidP="00C6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По организациям без учета предприятий республиканского подчинения экспорт услуг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составил 279,7 млн. долл. США, или 93,5% при </w:t>
      </w:r>
      <w:r w:rsidRPr="00ED10BF">
        <w:rPr>
          <w:rFonts w:ascii="Times New Roman" w:hAnsi="Times New Roman"/>
          <w:sz w:val="30"/>
          <w:szCs w:val="30"/>
        </w:rPr>
        <w:t>задании на 2020 г</w:t>
      </w:r>
      <w:r w:rsidR="009568B4" w:rsidRPr="00ED10BF">
        <w:rPr>
          <w:rFonts w:ascii="Times New Roman" w:hAnsi="Times New Roman"/>
          <w:sz w:val="30"/>
          <w:szCs w:val="30"/>
        </w:rPr>
        <w:t>од</w:t>
      </w:r>
      <w:r w:rsidRPr="00ED10BF">
        <w:rPr>
          <w:rFonts w:ascii="Times New Roman" w:hAnsi="Times New Roman"/>
          <w:sz w:val="30"/>
          <w:szCs w:val="30"/>
        </w:rPr>
        <w:t xml:space="preserve"> 103,8%.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Сальдо сложилось положительное </w:t>
      </w:r>
      <w:r w:rsidR="009568B4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размере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175,1 млн. долл. США.</w:t>
      </w:r>
    </w:p>
    <w:p w:rsidR="000F1C90" w:rsidRDefault="000F1C90" w:rsidP="00C64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368B1" w:rsidRPr="00ED10BF" w:rsidRDefault="00D368B1" w:rsidP="00C64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Снижение экспорта услуг на 6,5% по организациям без учета предприятий республиканского подчинения обусловлено, в первую очередь, снижением экспорта транспортных услуг (215,4 млн. долл. США, темп роста – 93,8%). Доля данного вида услуг составляет 77,0%. Транспортные организации области столкнулись в текущем году невозможностью осуществления по территории Российской Федерации каботажных перевозок, периодически возникающими сложностями в связи с эпидемиологической ситуацией.</w:t>
      </w:r>
    </w:p>
    <w:p w:rsidR="00D368B1" w:rsidRPr="00ED10BF" w:rsidRDefault="00D368B1" w:rsidP="00C64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 за 12 месяцев </w:t>
      </w:r>
      <w:r w:rsidR="00440123">
        <w:rPr>
          <w:rFonts w:ascii="Times New Roman" w:eastAsia="Times New Roman" w:hAnsi="Times New Roman"/>
          <w:sz w:val="30"/>
          <w:szCs w:val="30"/>
          <w:lang w:eastAsia="ru-RU"/>
        </w:rPr>
        <w:t>2020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отмечается рост экспорта компьютерных на 26,1% (23,0 млн. долл. США) и прочих деловых услуг на 16% (9,3 млн. долл. США).</w:t>
      </w:r>
    </w:p>
    <w:p w:rsidR="00FF321B" w:rsidRPr="00ED10BF" w:rsidRDefault="00FF321B" w:rsidP="00C64C17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За 2016 - 2020 гг. экспорт товаров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(по методологии статистики внешней торговли товарами)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вырос более чем в 1,6 раза (при задании по темпу роста 116,7%), экспорт услуг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(по методологии статистики внешней торговли услугами)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- более чем в 1,5 раза (при задании по темпу роста 114,7%).</w:t>
      </w:r>
    </w:p>
    <w:p w:rsidR="00A702CF" w:rsidRPr="00ED10BF" w:rsidRDefault="00A702CF" w:rsidP="00C64C17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Среднемесячная заработная плата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в январе-декабре 2020 г. в области составила 1071,3 руб., в декабре – 1289,0 руб., увеличилась по сравнению с аналогичными периодами 2019 г</w:t>
      </w:r>
      <w:r w:rsidR="00C74B57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ода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номинальная - на 13,5% и 15,4%, реальная - на 7,6% и 7,4% соответственно. </w:t>
      </w:r>
    </w:p>
    <w:p w:rsidR="00A702CF" w:rsidRPr="001B6A9F" w:rsidRDefault="00A702CF" w:rsidP="00C56584">
      <w:pPr>
        <w:spacing w:after="0" w:line="280" w:lineRule="exact"/>
        <w:ind w:firstLine="69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6A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Справочно: по уровню заработной платы Брестская область в целом за январь-декабрь 2020 г. находится на 4 месте, за декабрь </w:t>
      </w:r>
      <w:r w:rsidR="00C74B57" w:rsidRPr="001B6A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 </w:t>
      </w:r>
      <w:r w:rsidRPr="001B6A9F">
        <w:rPr>
          <w:rFonts w:ascii="Times New Roman" w:eastAsia="Times New Roman" w:hAnsi="Times New Roman"/>
          <w:i/>
          <w:sz w:val="28"/>
          <w:szCs w:val="28"/>
          <w:lang w:eastAsia="ru-RU"/>
        </w:rPr>
        <w:t>на 2</w:t>
      </w:r>
      <w:r w:rsidR="00C74B57" w:rsidRPr="001B6A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месте </w:t>
      </w:r>
      <w:r w:rsidRPr="001B6A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среди областей республики, в бюджетной сфере </w:t>
      </w:r>
      <w:r w:rsidR="00557E1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1B6A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6 и 4 местах соответственно. </w:t>
      </w:r>
    </w:p>
    <w:p w:rsidR="00A702CF" w:rsidRPr="00ED10BF" w:rsidRDefault="00A702CF" w:rsidP="00C64C17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бюджетных организациях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номинальная начисленная среднемесячная заработная плата в январе-декабре 2020 г. составила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br/>
        <w:t>934,3 руб., в том числе в декабре – 1 093,9 руб.,  увеличилась к аналогичным периодам 2019 г</w:t>
      </w:r>
      <w:r w:rsidR="00C25FA5" w:rsidRPr="00ED10BF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номинальная – на 18,8% и 18,6%, реальная – на 12,6% и 10,4% соответственно. </w:t>
      </w:r>
    </w:p>
    <w:p w:rsidR="00A702CF" w:rsidRPr="00ED10BF" w:rsidRDefault="00A702CF" w:rsidP="00C64C17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Соотношение средней заработной платы в бюджетной сфере и в целом по области в январе-декабре 2020 г. составило 87,2%, в декабре – 84,9%.</w:t>
      </w:r>
    </w:p>
    <w:p w:rsidR="00C25FA5" w:rsidRPr="00ED10BF" w:rsidRDefault="00C25FA5" w:rsidP="00C64C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 2020 году </w:t>
      </w: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численность населения, занятого в экономике области,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составила 586,4 тыс. человек, что соответствовало значению за 2019 год, пересчитанному органами государственной статистики после составления баланса трудовых ресурсов за 2019 год (до пересчета – 590,3 тыс. чел.).</w:t>
      </w:r>
    </w:p>
    <w:p w:rsidR="00C25FA5" w:rsidRPr="00ED10BF" w:rsidRDefault="00C25FA5" w:rsidP="00C64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val="be-BY" w:eastAsia="ru-RU"/>
        </w:rPr>
        <w:t>Следует отметить, что за исключением Брестской области во всех областях республики и в г. Минске число занятых в экономике снизилось.</w:t>
      </w:r>
    </w:p>
    <w:p w:rsidR="00C25FA5" w:rsidRPr="00557E10" w:rsidRDefault="00C25FA5" w:rsidP="00C56584">
      <w:pPr>
        <w:spacing w:after="0" w:line="28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557E10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Справочно</w:t>
      </w:r>
      <w:r w:rsidR="00E17031" w:rsidRPr="00557E10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: в</w:t>
      </w:r>
      <w:r w:rsidRPr="00557E10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 xml:space="preserve"> Гомельской и Гродненской обл. темп роста занятого населения составил 99,7%, г. Минске – 99,6%, Минской – 99,5%, Витебской – 99,2 %, Могилевской – 99,1%, по республике – 99,6%.</w:t>
      </w:r>
    </w:p>
    <w:p w:rsidR="000F1C90" w:rsidRDefault="000F1C90" w:rsidP="00C64C1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F1C90" w:rsidRDefault="000F1C90" w:rsidP="00C64C1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25FA5" w:rsidRPr="00ED10BF" w:rsidRDefault="00552681" w:rsidP="00C64C1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</w:t>
      </w:r>
      <w:r w:rsidR="00C25FA5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ровень регистрируемой безработицы относительно начала 2020 года не изменился, и на 01.01.2021 составил 0,2%, численность безработных снизилась с 1,4 тыс. человек на 01.01.2020 до 1,2 тыс. человек на 01.01.2021. Несмотря на снижение количества заявленных в службу занятости вакансий с 10,4 тыс. мест до 8,0 тыс. мест, </w:t>
      </w:r>
      <w:r w:rsidR="00C25FA5" w:rsidRPr="00ED10BF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на одного зарегистрированного безработного условно приходится порядка 7 вакансий.</w:t>
      </w:r>
    </w:p>
    <w:p w:rsidR="00B330A6" w:rsidRPr="00B330A6" w:rsidRDefault="00887B6B" w:rsidP="00B3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B330A6"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 2020 году в Брестской области </w:t>
      </w:r>
      <w:r w:rsidR="00B330A6" w:rsidRPr="00B330A6">
        <w:rPr>
          <w:rFonts w:ascii="Times New Roman" w:eastAsia="Times New Roman" w:hAnsi="Times New Roman"/>
          <w:b/>
          <w:sz w:val="30"/>
          <w:szCs w:val="30"/>
          <w:lang w:eastAsia="ru-RU"/>
        </w:rPr>
        <w:t>на вновь созданные рабочие места за счет создания новых производств и предприятий трудоустроено</w:t>
      </w:r>
      <w:r w:rsidR="00B330A6"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 6 091 человек, или 96,7% задания, установленного на </w:t>
      </w:r>
      <w:r w:rsidR="00B330A6" w:rsidRPr="00B330A6">
        <w:rPr>
          <w:rFonts w:ascii="Times New Roman" w:eastAsia="Times New Roman" w:hAnsi="Times New Roman"/>
          <w:sz w:val="30"/>
          <w:szCs w:val="30"/>
          <w:lang w:eastAsia="ru-RU"/>
        </w:rPr>
        <w:br/>
        <w:t>2020 год (6 300 человек)</w:t>
      </w:r>
      <w:r w:rsidR="00C0004E">
        <w:rPr>
          <w:rFonts w:ascii="Times New Roman" w:eastAsia="Times New Roman" w:hAnsi="Times New Roman"/>
          <w:sz w:val="30"/>
          <w:szCs w:val="30"/>
          <w:lang w:eastAsia="ru-RU"/>
        </w:rPr>
        <w:t>, в том числе за счет создания новых производств - 3731 человек (61,3%), за счет новых производств - 2360 человек (38,7%).</w:t>
      </w:r>
    </w:p>
    <w:p w:rsidR="00B330A6" w:rsidRPr="00B330A6" w:rsidRDefault="00C0377E" w:rsidP="00B3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B330A6"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яд новых предприятий фактически не осуществлял прием граждан на новые рабочие места в связи с тем, что вновь созданные предприятия в большинстве находятся на подготовительном этапе (получение необходимых сертификатов (разрешений), ремонт помещений, закупка оборудования, подбор персонала и пр.). </w:t>
      </w:r>
    </w:p>
    <w:p w:rsidR="00B330A6" w:rsidRPr="00B330A6" w:rsidRDefault="00B330A6" w:rsidP="00701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Снижение потребительского спроса на товары и услуги </w:t>
      </w:r>
      <w:r w:rsidR="00582DDC">
        <w:rPr>
          <w:rFonts w:ascii="Times New Roman" w:eastAsia="Times New Roman" w:hAnsi="Times New Roman"/>
          <w:sz w:val="30"/>
          <w:szCs w:val="30"/>
          <w:lang w:eastAsia="ru-RU"/>
        </w:rPr>
        <w:t xml:space="preserve">из-за </w:t>
      </w: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 введени</w:t>
      </w:r>
      <w:r w:rsidR="00582DDC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 ограничительных мер, принимаемых государствами в связи с пандемией в целях нераспространения вирусной инфекции (закрытие границ, приостановка внешней торговли с зарубежными странами, уменьшение объемов работ и выпускаемой продукции из-за невозможности ее реализации, экономи</w:t>
      </w:r>
      <w:r w:rsidR="0070164D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 финансовых средств, невозможность приобретения импортных комплектующих, спад покупательской активности внутри </w:t>
      </w:r>
      <w:r w:rsidR="0070164D">
        <w:rPr>
          <w:rFonts w:ascii="Times New Roman" w:eastAsia="Times New Roman" w:hAnsi="Times New Roman"/>
          <w:sz w:val="30"/>
          <w:szCs w:val="30"/>
          <w:lang w:eastAsia="ru-RU"/>
        </w:rPr>
        <w:t>республики</w:t>
      </w: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>, невозможность въездного и выездного туризма и т.д.)</w:t>
      </w:r>
      <w:r w:rsidR="00582DDC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 xml:space="preserve"> явилось следствием невозможности организациям и предприятиям полноценно вести бизнес в сложившихся условиях и, как следствие, вынужденное ограничение экономической деятельности, а в некоторых случаях и ее полное прекращение. Соответственно, потребность в  новых работниках в данной ситуации отсутств</w:t>
      </w:r>
      <w:r w:rsidR="0070164D">
        <w:rPr>
          <w:rFonts w:ascii="Times New Roman" w:eastAsia="Times New Roman" w:hAnsi="Times New Roman"/>
          <w:sz w:val="30"/>
          <w:szCs w:val="30"/>
          <w:lang w:eastAsia="ru-RU"/>
        </w:rPr>
        <w:t>овала</w:t>
      </w:r>
      <w:r w:rsidRPr="00B330A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F483E" w:rsidRPr="00ED10BF" w:rsidRDefault="002F483E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По состоянию на 01.01.2021 на налоговом учете состояло                              9 333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микро-, малых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и 311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средних организаций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и                                         35 718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индивидуальных предпринимателей</w:t>
      </w:r>
      <w:r w:rsidRPr="00ED10BF">
        <w:rPr>
          <w:rFonts w:ascii="Times New Roman" w:hAnsi="Times New Roman"/>
          <w:sz w:val="30"/>
          <w:szCs w:val="30"/>
          <w:lang w:eastAsia="ru-RU"/>
        </w:rPr>
        <w:t>. По числу организаций малого и среднего предпринимательства и индивидуальных предпринимателей Брестская область занимает третье место в республике (после г. Минска и Минской области).</w:t>
      </w:r>
    </w:p>
    <w:p w:rsidR="002F483E" w:rsidRPr="00ED10BF" w:rsidRDefault="002F483E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>За 2020 год от субъектов малого и среднего предпринимательства в консолидированный бюджет области поступило 583,0 млн. руб</w:t>
      </w:r>
      <w:r w:rsidR="001678D0" w:rsidRPr="00ED10BF">
        <w:rPr>
          <w:rFonts w:ascii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, или 36,1% налоговых поступлений 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>(за 2019 г</w:t>
      </w:r>
      <w:r w:rsidR="001678D0" w:rsidRPr="00ED10BF">
        <w:rPr>
          <w:rFonts w:ascii="Times New Roman" w:hAnsi="Times New Roman"/>
          <w:i/>
          <w:sz w:val="30"/>
          <w:szCs w:val="30"/>
          <w:lang w:eastAsia="ru-RU"/>
        </w:rPr>
        <w:t>од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 соответственно 552,1 млн. руб</w:t>
      </w:r>
      <w:r w:rsidR="001678D0" w:rsidRPr="00ED10BF">
        <w:rPr>
          <w:rFonts w:ascii="Times New Roman" w:hAnsi="Times New Roman"/>
          <w:i/>
          <w:sz w:val="30"/>
          <w:szCs w:val="30"/>
          <w:lang w:eastAsia="ru-RU"/>
        </w:rPr>
        <w:t>.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 и 33,2%)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0F1C90" w:rsidRDefault="000F1C90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2F483E" w:rsidRPr="00ED10BF" w:rsidRDefault="002F483E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В 2020 году в области зарегистрировано 617 коммерческих организаций, в том числе 79 промышленных, а также                                       3988 индивидуальных предпринимателей. </w:t>
      </w:r>
      <w:r w:rsidRPr="00ED10BF">
        <w:rPr>
          <w:rFonts w:ascii="Times New Roman" w:hAnsi="Times New Roman"/>
          <w:sz w:val="30"/>
          <w:szCs w:val="30"/>
        </w:rPr>
        <w:t>Структур</w:t>
      </w:r>
      <w:r w:rsidR="001678D0" w:rsidRPr="00ED10BF">
        <w:rPr>
          <w:rFonts w:ascii="Times New Roman" w:hAnsi="Times New Roman"/>
          <w:sz w:val="30"/>
          <w:szCs w:val="30"/>
        </w:rPr>
        <w:t>а</w:t>
      </w:r>
      <w:r w:rsidRPr="00ED10BF">
        <w:rPr>
          <w:rFonts w:ascii="Times New Roman" w:hAnsi="Times New Roman"/>
          <w:sz w:val="30"/>
          <w:szCs w:val="30"/>
        </w:rPr>
        <w:t xml:space="preserve"> организаций</w:t>
      </w:r>
      <w:r w:rsidR="001678D0" w:rsidRPr="00ED10BF">
        <w:rPr>
          <w:rFonts w:ascii="Times New Roman" w:hAnsi="Times New Roman"/>
          <w:sz w:val="30"/>
          <w:szCs w:val="30"/>
        </w:rPr>
        <w:t>,</w:t>
      </w:r>
      <w:r w:rsidRPr="00ED10BF">
        <w:rPr>
          <w:rFonts w:ascii="Times New Roman" w:hAnsi="Times New Roman"/>
          <w:sz w:val="30"/>
          <w:szCs w:val="30"/>
        </w:rPr>
        <w:t xml:space="preserve"> созданных в 2020 году</w:t>
      </w:r>
      <w:r w:rsidR="001678D0" w:rsidRPr="00ED10BF">
        <w:rPr>
          <w:rFonts w:ascii="Times New Roman" w:hAnsi="Times New Roman"/>
          <w:sz w:val="30"/>
          <w:szCs w:val="30"/>
        </w:rPr>
        <w:t xml:space="preserve">, </w:t>
      </w:r>
      <w:r w:rsidRPr="00ED10BF">
        <w:rPr>
          <w:rFonts w:ascii="Times New Roman" w:hAnsi="Times New Roman"/>
          <w:sz w:val="30"/>
          <w:szCs w:val="30"/>
        </w:rPr>
        <w:t>следующ</w:t>
      </w:r>
      <w:r w:rsidR="001678D0" w:rsidRPr="00ED10BF">
        <w:rPr>
          <w:rFonts w:ascii="Times New Roman" w:hAnsi="Times New Roman"/>
          <w:sz w:val="30"/>
          <w:szCs w:val="30"/>
        </w:rPr>
        <w:t>ая</w:t>
      </w:r>
      <w:r w:rsidRPr="00ED10BF">
        <w:rPr>
          <w:rFonts w:ascii="Times New Roman" w:hAnsi="Times New Roman"/>
          <w:sz w:val="30"/>
          <w:szCs w:val="30"/>
        </w:rPr>
        <w:t>: промышленность – 12,8%, сельское хозяйство – 12,8%, транспорт – 12,3%, строительство – 8,2%, торговля – 29%.</w:t>
      </w:r>
    </w:p>
    <w:p w:rsidR="002F483E" w:rsidRPr="00ED10BF" w:rsidRDefault="002F483E" w:rsidP="00C64C17">
      <w:pPr>
        <w:spacing w:after="0" w:line="240" w:lineRule="auto"/>
        <w:ind w:firstLine="771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>За 2020 г</w:t>
      </w:r>
      <w:r w:rsidR="001678D0" w:rsidRPr="00ED10BF">
        <w:rPr>
          <w:rFonts w:ascii="Times New Roman" w:hAnsi="Times New Roman"/>
          <w:sz w:val="30"/>
          <w:szCs w:val="30"/>
          <w:lang w:eastAsia="ru-RU"/>
        </w:rPr>
        <w:t>од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объем экспорта товаров субъектов малого и среднего бизнеса составил 696,6 млн. долл. США</w:t>
      </w:r>
      <w:r w:rsidR="001678D0" w:rsidRPr="00ED10BF">
        <w:rPr>
          <w:rFonts w:ascii="Times New Roman" w:hAnsi="Times New Roman"/>
          <w:sz w:val="30"/>
          <w:szCs w:val="30"/>
          <w:lang w:eastAsia="ru-RU"/>
        </w:rPr>
        <w:t>,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или 26,4% общего объема экспорта товаров области 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>(за 2019 г</w:t>
      </w:r>
      <w:r w:rsidR="001678D0" w:rsidRPr="00ED10BF">
        <w:rPr>
          <w:rFonts w:ascii="Times New Roman" w:hAnsi="Times New Roman"/>
          <w:i/>
          <w:sz w:val="30"/>
          <w:szCs w:val="30"/>
          <w:lang w:eastAsia="ru-RU"/>
        </w:rPr>
        <w:t>од</w:t>
      </w:r>
      <w:r w:rsidRPr="00ED10BF">
        <w:rPr>
          <w:rFonts w:ascii="Times New Roman" w:hAnsi="Times New Roman"/>
          <w:i/>
          <w:sz w:val="30"/>
          <w:szCs w:val="30"/>
          <w:lang w:eastAsia="ru-RU"/>
        </w:rPr>
        <w:t xml:space="preserve"> соответственно 629,2 млн. долл. США и 24,4%). </w:t>
      </w:r>
    </w:p>
    <w:p w:rsidR="002F483E" w:rsidRPr="00ED10BF" w:rsidRDefault="002F483E" w:rsidP="00C64C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ED10BF">
        <w:rPr>
          <w:rFonts w:ascii="Times New Roman" w:hAnsi="Times New Roman"/>
          <w:sz w:val="30"/>
          <w:szCs w:val="30"/>
        </w:rPr>
        <w:t>В рамках реализации Государственной программы «Малое и среднее предпринимательство» в 2020 году предоставлены льготные кредиты за счет средств областного бюджета, размещенных во вклады (депозиты) банков, 25 субъектам малого предпринимательства на общую сумму 3,1 млн. руб</w:t>
      </w:r>
      <w:r w:rsidR="00E97301" w:rsidRPr="00ED10BF">
        <w:rPr>
          <w:rFonts w:ascii="Times New Roman" w:hAnsi="Times New Roman"/>
          <w:sz w:val="30"/>
          <w:szCs w:val="30"/>
        </w:rPr>
        <w:t>.</w:t>
      </w:r>
      <w:r w:rsidRPr="00ED10BF">
        <w:rPr>
          <w:rFonts w:ascii="Times New Roman" w:hAnsi="Times New Roman"/>
          <w:sz w:val="30"/>
          <w:szCs w:val="30"/>
        </w:rPr>
        <w:t>, в том числе для приобретения производственных площадей (для расширения производства спецодежды), производственного оборудования (для производства сельхозтехники, стройматериалов). Освоение средств, предусмотренных на реализацию Государственной программы в Брестской области в 2020 году, составило 99,9%.</w:t>
      </w:r>
    </w:p>
    <w:p w:rsidR="002F483E" w:rsidRPr="00557E10" w:rsidRDefault="00E97301" w:rsidP="00C56584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557E10">
        <w:rPr>
          <w:rFonts w:ascii="Times New Roman" w:hAnsi="Times New Roman"/>
          <w:i/>
          <w:sz w:val="28"/>
          <w:szCs w:val="28"/>
        </w:rPr>
        <w:t>Справочно: в</w:t>
      </w:r>
      <w:r w:rsidR="002F483E" w:rsidRPr="00557E10">
        <w:rPr>
          <w:rFonts w:ascii="Times New Roman" w:hAnsi="Times New Roman"/>
          <w:i/>
          <w:sz w:val="28"/>
          <w:szCs w:val="28"/>
        </w:rPr>
        <w:t xml:space="preserve"> течение последних лет Брестская область занимает лидирующую позицию в республике в части финансовой поддержки субъектов малого предпринимательства. За период реализации Государственной программы «Малое и среднее предпринимательство» на 2016-2020 годы государственную финансовую поддержку в виде льготных кредитов получили 79 субъектов малого предпринимательст</w:t>
      </w:r>
      <w:r w:rsidRPr="00557E10">
        <w:rPr>
          <w:rFonts w:ascii="Times New Roman" w:hAnsi="Times New Roman"/>
          <w:i/>
          <w:sz w:val="28"/>
          <w:szCs w:val="28"/>
        </w:rPr>
        <w:t>ва на общую сумму 10,3 млн. руб</w:t>
      </w:r>
      <w:r w:rsidR="002F483E" w:rsidRPr="00557E10">
        <w:rPr>
          <w:rFonts w:ascii="Times New Roman" w:hAnsi="Times New Roman"/>
          <w:i/>
          <w:sz w:val="28"/>
          <w:szCs w:val="28"/>
        </w:rPr>
        <w:t xml:space="preserve">. </w:t>
      </w:r>
    </w:p>
    <w:p w:rsidR="002F483E" w:rsidRPr="00ED10BF" w:rsidRDefault="002F483E" w:rsidP="00C64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оказания содействия развитию малого и среднего предпринимательства в организации и осуществлении деятельности в области действуют 15 центров поддержки предпринимательства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(г. Брест – 5, г. Барановичи – 1, г. Пинск – 2,  Березовский район – 2, г. Ганцевичи – 1, г. Ивацевичи – 1, г. Кобрин – 1, г. Пружаны – 1, г. Столин – 1)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и                       4 инкубатора малого предпринимательства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(в городах Брест, Барановичи, Береза, Пинск).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Показатели Государственной программы «Малое и среднее предпринимательство» на 2016-2020 годы по созданию субъектов инфраструктуры выполнены в полном объеме.</w:t>
      </w:r>
    </w:p>
    <w:p w:rsidR="002F483E" w:rsidRPr="00ED10BF" w:rsidRDefault="008D619A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В 2020 году </w:t>
      </w: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финансовые результаты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организаций области формировались в условиях </w:t>
      </w:r>
      <w:r w:rsidR="0095213F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роста уровня экономической неопределенности, обусловленных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непростой эпидемиологической ситуаци</w:t>
      </w:r>
      <w:r w:rsidR="0095213F" w:rsidRPr="00ED10BF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772CC" w:rsidRPr="00ED10BF" w:rsidRDefault="002772CC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За январь-декабрь 2020 г.получено 26,2 млрд. руб. выручки от реализации продукции и 913,6 млн. руб. чистой прибыли</w:t>
      </w:r>
      <w:r w:rsidR="001B617E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темп роста – 112,2% и 90% соответственно</w:t>
      </w:r>
      <w:r w:rsidR="001B617E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по темпу роста выручки от реализации продукции область занимает 1 место и превышает темп (107%), сложившийся в целом по республике). </w:t>
      </w:r>
    </w:p>
    <w:p w:rsidR="002772CC" w:rsidRPr="00ED10BF" w:rsidRDefault="002772CC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Рентабельность продаж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составила по области 6,8% и приросла к 2019 году на 0,7 п.п., по </w:t>
      </w:r>
      <w:r w:rsidR="00EA17AB"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организациям местной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подчиненн</w:t>
      </w:r>
      <w:r w:rsidR="00EA17AB" w:rsidRPr="00ED10BF">
        <w:rPr>
          <w:rFonts w:ascii="Times New Roman" w:eastAsia="Times New Roman" w:hAnsi="Times New Roman"/>
          <w:sz w:val="30"/>
          <w:szCs w:val="30"/>
          <w:lang w:eastAsia="ru-RU"/>
        </w:rPr>
        <w:t>ости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– 7,8%, рост на 1 п.п.</w:t>
      </w:r>
    </w:p>
    <w:p w:rsidR="002772CC" w:rsidRPr="00ED10BF" w:rsidRDefault="002772CC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>Количество убыточных организаций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 в целом по области сократилось по сравнению с 2019 годом на 2%: с 115 ед. на 01.01.2020 до 113 ед. на 01.01.2021. Удельный вес убыточных организаций  снизился за пятилетку почти в 2 раза: с 22,3% на 01.01.2016 до 11,2% на 01.01.2021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(количество убыточных организаций уменьшилось в 2,2 раза: с 252 ед. до 113 ед.).</w:t>
      </w:r>
    </w:p>
    <w:p w:rsidR="001E21AC" w:rsidRDefault="002772CC" w:rsidP="00C64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10B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Сумма чистого убытка убыточных организаций 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>составила на1 января 2021 г. 321,1 млн. руб</w:t>
      </w:r>
      <w:r w:rsidR="00D355CC" w:rsidRPr="00ED10B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(темп роста – 250,9%)</w:t>
      </w:r>
      <w:r w:rsidRPr="00ED10BF">
        <w:rPr>
          <w:rFonts w:ascii="Times New Roman" w:eastAsia="Times New Roman" w:hAnsi="Times New Roman"/>
          <w:sz w:val="30"/>
          <w:szCs w:val="30"/>
          <w:lang w:eastAsia="ru-RU"/>
        </w:rPr>
        <w:t xml:space="preserve">.На 1 убыточную организацию области приходится 2,8 млн. руб. убытков 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(по республике –   6,1 млн. руб</w:t>
      </w:r>
      <w:r w:rsidR="00D355CC"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  <w:r w:rsidRPr="00ED10BF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убытков).</w:t>
      </w:r>
      <w:bookmarkStart w:id="0" w:name="_GoBack"/>
      <w:bookmarkEnd w:id="0"/>
    </w:p>
    <w:p w:rsidR="002772CC" w:rsidRPr="00557E10" w:rsidRDefault="00DB7297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57E10">
        <w:rPr>
          <w:rFonts w:ascii="Times New Roman" w:hAnsi="Times New Roman"/>
          <w:i/>
          <w:sz w:val="28"/>
          <w:szCs w:val="28"/>
        </w:rPr>
        <w:t>Справочно: в</w:t>
      </w:r>
      <w:r w:rsidR="002772CC" w:rsidRPr="00557E10">
        <w:rPr>
          <w:rFonts w:ascii="Times New Roman" w:hAnsi="Times New Roman"/>
          <w:i/>
          <w:sz w:val="28"/>
          <w:szCs w:val="28"/>
        </w:rPr>
        <w:t xml:space="preserve"> общей сумме убытков 79%, или 253,5 млн. руб</w:t>
      </w:r>
      <w:r w:rsidR="00D355CC" w:rsidRPr="00557E10">
        <w:rPr>
          <w:rFonts w:ascii="Times New Roman" w:hAnsi="Times New Roman"/>
          <w:i/>
          <w:sz w:val="28"/>
          <w:szCs w:val="28"/>
        </w:rPr>
        <w:t>.</w:t>
      </w:r>
      <w:r w:rsidR="002772CC" w:rsidRPr="00557E10">
        <w:rPr>
          <w:rFonts w:ascii="Times New Roman" w:hAnsi="Times New Roman"/>
          <w:i/>
          <w:sz w:val="28"/>
          <w:szCs w:val="28"/>
        </w:rPr>
        <w:t>, приходится на 10 организаций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: СЗАО «Кварцмелпром» (87,9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подразделения Белорусской железной дороги(77,6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 в городах Бресте и Барановичи, ПРУП «Брестоблгаз» (27,2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 ОАО «Барановичское ПХБО» (14,2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ОАО «Комаровка»  (13,9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ОАО «Березовский КСИ» (6,9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 ОАО «Журавлиное (8,7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ЗАО «Консул» (7,5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), СООО «Данон-Пружаны» (4,7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 и  ЗАО «Амкодор-Пинск»(4,7 млн. руб</w:t>
      </w:r>
      <w:r w:rsidR="00D355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772CC" w:rsidRPr="00557E10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2772CC" w:rsidRPr="00ED10BF" w:rsidRDefault="002772CC" w:rsidP="00C64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0BF">
        <w:rPr>
          <w:rFonts w:ascii="Times New Roman" w:hAnsi="Times New Roman"/>
          <w:sz w:val="30"/>
          <w:szCs w:val="30"/>
          <w:lang w:eastAsia="ru-RU"/>
        </w:rPr>
        <w:t xml:space="preserve">За 2020 год </w:t>
      </w:r>
      <w:r w:rsidRPr="00ED10BF">
        <w:rPr>
          <w:rFonts w:ascii="Times New Roman" w:hAnsi="Times New Roman"/>
          <w:b/>
          <w:sz w:val="30"/>
          <w:szCs w:val="30"/>
          <w:lang w:eastAsia="ru-RU"/>
        </w:rPr>
        <w:t>просроченная внешняя дебиторская задолженность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подчиненных организаций снизилась на 10% и составила на 1 января           2021 г. 1,1 млн. руб</w:t>
      </w:r>
      <w:r w:rsidR="00CB3D0E" w:rsidRPr="00ED10BF">
        <w:rPr>
          <w:rFonts w:ascii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 (на 1 января 2020 г. – 1,2 млн. руб</w:t>
      </w:r>
      <w:r w:rsidR="00CB3D0E" w:rsidRPr="00ED10BF">
        <w:rPr>
          <w:rFonts w:ascii="Times New Roman" w:hAnsi="Times New Roman"/>
          <w:sz w:val="30"/>
          <w:szCs w:val="30"/>
          <w:lang w:eastAsia="ru-RU"/>
        </w:rPr>
        <w:t>.</w:t>
      </w:r>
      <w:r w:rsidRPr="00ED10BF">
        <w:rPr>
          <w:rFonts w:ascii="Times New Roman" w:hAnsi="Times New Roman"/>
          <w:sz w:val="30"/>
          <w:szCs w:val="30"/>
          <w:lang w:eastAsia="ru-RU"/>
        </w:rPr>
        <w:t xml:space="preserve">). </w:t>
      </w:r>
    </w:p>
    <w:sectPr w:rsidR="002772CC" w:rsidRPr="00ED10BF" w:rsidSect="00570716">
      <w:headerReference w:type="default" r:id="rId6"/>
      <w:pgSz w:w="11906" w:h="16838" w:code="9"/>
      <w:pgMar w:top="1134" w:right="567" w:bottom="1134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4C" w:rsidRDefault="007C064C" w:rsidP="00A52EF9">
      <w:pPr>
        <w:spacing w:after="0" w:line="240" w:lineRule="auto"/>
      </w:pPr>
      <w:r>
        <w:separator/>
      </w:r>
    </w:p>
  </w:endnote>
  <w:endnote w:type="continuationSeparator" w:id="1">
    <w:p w:rsidR="007C064C" w:rsidRDefault="007C064C" w:rsidP="00A5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4C" w:rsidRDefault="007C064C" w:rsidP="00A52EF9">
      <w:pPr>
        <w:spacing w:after="0" w:line="240" w:lineRule="auto"/>
      </w:pPr>
      <w:r>
        <w:separator/>
      </w:r>
    </w:p>
  </w:footnote>
  <w:footnote w:type="continuationSeparator" w:id="1">
    <w:p w:rsidR="007C064C" w:rsidRDefault="007C064C" w:rsidP="00A5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08" w:rsidRPr="004879DA" w:rsidRDefault="0007245A">
    <w:pPr>
      <w:pStyle w:val="a3"/>
      <w:jc w:val="center"/>
      <w:rPr>
        <w:rFonts w:ascii="Times New Roman" w:hAnsi="Times New Roman"/>
        <w:sz w:val="28"/>
        <w:szCs w:val="28"/>
      </w:rPr>
    </w:pPr>
    <w:r w:rsidRPr="004879DA">
      <w:rPr>
        <w:rFonts w:ascii="Times New Roman" w:hAnsi="Times New Roman"/>
        <w:sz w:val="28"/>
        <w:szCs w:val="28"/>
      </w:rPr>
      <w:fldChar w:fldCharType="begin"/>
    </w:r>
    <w:r w:rsidR="00E67F08" w:rsidRPr="004879DA">
      <w:rPr>
        <w:rFonts w:ascii="Times New Roman" w:hAnsi="Times New Roman"/>
        <w:sz w:val="28"/>
        <w:szCs w:val="28"/>
      </w:rPr>
      <w:instrText>PAGE   \* MERGEFORMAT</w:instrText>
    </w:r>
    <w:r w:rsidRPr="004879DA">
      <w:rPr>
        <w:rFonts w:ascii="Times New Roman" w:hAnsi="Times New Roman"/>
        <w:sz w:val="28"/>
        <w:szCs w:val="28"/>
      </w:rPr>
      <w:fldChar w:fldCharType="separate"/>
    </w:r>
    <w:r w:rsidR="00C9403E">
      <w:rPr>
        <w:rFonts w:ascii="Times New Roman" w:hAnsi="Times New Roman"/>
        <w:noProof/>
        <w:sz w:val="28"/>
        <w:szCs w:val="28"/>
      </w:rPr>
      <w:t>9</w:t>
    </w:r>
    <w:r w:rsidRPr="004879DA">
      <w:rPr>
        <w:rFonts w:ascii="Times New Roman" w:hAnsi="Times New Roman"/>
        <w:sz w:val="28"/>
        <w:szCs w:val="28"/>
      </w:rPr>
      <w:fldChar w:fldCharType="end"/>
    </w:r>
  </w:p>
  <w:p w:rsidR="00E67F08" w:rsidRDefault="00E67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19C"/>
    <w:rsid w:val="00000FB0"/>
    <w:rsid w:val="0000181E"/>
    <w:rsid w:val="000028C0"/>
    <w:rsid w:val="00002EC2"/>
    <w:rsid w:val="00003533"/>
    <w:rsid w:val="00003C60"/>
    <w:rsid w:val="000119F7"/>
    <w:rsid w:val="00015566"/>
    <w:rsid w:val="0001580C"/>
    <w:rsid w:val="0001727D"/>
    <w:rsid w:val="00020C3D"/>
    <w:rsid w:val="00020EE0"/>
    <w:rsid w:val="0002356B"/>
    <w:rsid w:val="00030F08"/>
    <w:rsid w:val="0003129F"/>
    <w:rsid w:val="00031F99"/>
    <w:rsid w:val="00032AE5"/>
    <w:rsid w:val="000330BB"/>
    <w:rsid w:val="0003377E"/>
    <w:rsid w:val="000364B3"/>
    <w:rsid w:val="00037767"/>
    <w:rsid w:val="00040435"/>
    <w:rsid w:val="00040507"/>
    <w:rsid w:val="0004115E"/>
    <w:rsid w:val="00042363"/>
    <w:rsid w:val="00042BA2"/>
    <w:rsid w:val="0004359B"/>
    <w:rsid w:val="00051855"/>
    <w:rsid w:val="00053538"/>
    <w:rsid w:val="00055525"/>
    <w:rsid w:val="00060F1E"/>
    <w:rsid w:val="00066DF4"/>
    <w:rsid w:val="0007245A"/>
    <w:rsid w:val="000724D8"/>
    <w:rsid w:val="00076428"/>
    <w:rsid w:val="0007761B"/>
    <w:rsid w:val="00077977"/>
    <w:rsid w:val="000808D7"/>
    <w:rsid w:val="00081B2A"/>
    <w:rsid w:val="000822A5"/>
    <w:rsid w:val="00084A7D"/>
    <w:rsid w:val="00084DFE"/>
    <w:rsid w:val="00087A91"/>
    <w:rsid w:val="00092944"/>
    <w:rsid w:val="0009382F"/>
    <w:rsid w:val="000938AF"/>
    <w:rsid w:val="0009446A"/>
    <w:rsid w:val="00095E80"/>
    <w:rsid w:val="000A1D7E"/>
    <w:rsid w:val="000A2D85"/>
    <w:rsid w:val="000A3A04"/>
    <w:rsid w:val="000A51C7"/>
    <w:rsid w:val="000A590F"/>
    <w:rsid w:val="000B0315"/>
    <w:rsid w:val="000B076F"/>
    <w:rsid w:val="000B573C"/>
    <w:rsid w:val="000C01E0"/>
    <w:rsid w:val="000C0381"/>
    <w:rsid w:val="000C2428"/>
    <w:rsid w:val="000C534F"/>
    <w:rsid w:val="000C6C46"/>
    <w:rsid w:val="000D190B"/>
    <w:rsid w:val="000D58ED"/>
    <w:rsid w:val="000E060D"/>
    <w:rsid w:val="000E1201"/>
    <w:rsid w:val="000E2EF7"/>
    <w:rsid w:val="000F118F"/>
    <w:rsid w:val="000F1C90"/>
    <w:rsid w:val="000F1E6F"/>
    <w:rsid w:val="000F2795"/>
    <w:rsid w:val="000F3B70"/>
    <w:rsid w:val="000F66EC"/>
    <w:rsid w:val="000F797C"/>
    <w:rsid w:val="00101CC1"/>
    <w:rsid w:val="00101E47"/>
    <w:rsid w:val="00102423"/>
    <w:rsid w:val="00102508"/>
    <w:rsid w:val="0010321C"/>
    <w:rsid w:val="00103C7D"/>
    <w:rsid w:val="00106F93"/>
    <w:rsid w:val="00110281"/>
    <w:rsid w:val="001131B0"/>
    <w:rsid w:val="0011532D"/>
    <w:rsid w:val="001204A6"/>
    <w:rsid w:val="00120FA5"/>
    <w:rsid w:val="00121928"/>
    <w:rsid w:val="001224B8"/>
    <w:rsid w:val="0012387C"/>
    <w:rsid w:val="00130C33"/>
    <w:rsid w:val="00131DE9"/>
    <w:rsid w:val="0013225C"/>
    <w:rsid w:val="00132F42"/>
    <w:rsid w:val="00135C63"/>
    <w:rsid w:val="0014112A"/>
    <w:rsid w:val="001517B4"/>
    <w:rsid w:val="0015191E"/>
    <w:rsid w:val="00151B98"/>
    <w:rsid w:val="0015261B"/>
    <w:rsid w:val="00156A66"/>
    <w:rsid w:val="0015738C"/>
    <w:rsid w:val="00160380"/>
    <w:rsid w:val="00160C1A"/>
    <w:rsid w:val="00163BE9"/>
    <w:rsid w:val="00164810"/>
    <w:rsid w:val="001648D7"/>
    <w:rsid w:val="00164E10"/>
    <w:rsid w:val="001653A4"/>
    <w:rsid w:val="001657E5"/>
    <w:rsid w:val="00165B8F"/>
    <w:rsid w:val="001678D0"/>
    <w:rsid w:val="00167E05"/>
    <w:rsid w:val="00173298"/>
    <w:rsid w:val="00173A47"/>
    <w:rsid w:val="00176746"/>
    <w:rsid w:val="00177447"/>
    <w:rsid w:val="00181060"/>
    <w:rsid w:val="00181C26"/>
    <w:rsid w:val="00181CE4"/>
    <w:rsid w:val="001825D4"/>
    <w:rsid w:val="0019177E"/>
    <w:rsid w:val="00191A20"/>
    <w:rsid w:val="00192197"/>
    <w:rsid w:val="00192546"/>
    <w:rsid w:val="00192EF6"/>
    <w:rsid w:val="0019381F"/>
    <w:rsid w:val="00194589"/>
    <w:rsid w:val="00196E51"/>
    <w:rsid w:val="001A0A7D"/>
    <w:rsid w:val="001A14D4"/>
    <w:rsid w:val="001A26BE"/>
    <w:rsid w:val="001A33C0"/>
    <w:rsid w:val="001A386B"/>
    <w:rsid w:val="001A57AB"/>
    <w:rsid w:val="001A5961"/>
    <w:rsid w:val="001B0E49"/>
    <w:rsid w:val="001B1118"/>
    <w:rsid w:val="001B3A83"/>
    <w:rsid w:val="001B617E"/>
    <w:rsid w:val="001B6359"/>
    <w:rsid w:val="001B6A9F"/>
    <w:rsid w:val="001C105C"/>
    <w:rsid w:val="001D0A1D"/>
    <w:rsid w:val="001D1548"/>
    <w:rsid w:val="001D27A5"/>
    <w:rsid w:val="001D468D"/>
    <w:rsid w:val="001D47F7"/>
    <w:rsid w:val="001D5C86"/>
    <w:rsid w:val="001D7167"/>
    <w:rsid w:val="001E0AC0"/>
    <w:rsid w:val="001E17DF"/>
    <w:rsid w:val="001E21AC"/>
    <w:rsid w:val="001E6977"/>
    <w:rsid w:val="001E6A1E"/>
    <w:rsid w:val="001E7C75"/>
    <w:rsid w:val="001F42C4"/>
    <w:rsid w:val="001F48DC"/>
    <w:rsid w:val="001F63B3"/>
    <w:rsid w:val="001F7A5C"/>
    <w:rsid w:val="00204D42"/>
    <w:rsid w:val="00205AFF"/>
    <w:rsid w:val="00206AFC"/>
    <w:rsid w:val="00212C2B"/>
    <w:rsid w:val="00213DA4"/>
    <w:rsid w:val="0021516E"/>
    <w:rsid w:val="00215CF9"/>
    <w:rsid w:val="00216A69"/>
    <w:rsid w:val="00220D49"/>
    <w:rsid w:val="00221727"/>
    <w:rsid w:val="002252AA"/>
    <w:rsid w:val="00226017"/>
    <w:rsid w:val="0022606E"/>
    <w:rsid w:val="00227CC0"/>
    <w:rsid w:val="00230C2A"/>
    <w:rsid w:val="00234284"/>
    <w:rsid w:val="00236D45"/>
    <w:rsid w:val="002407DB"/>
    <w:rsid w:val="00241609"/>
    <w:rsid w:val="00241775"/>
    <w:rsid w:val="00243B14"/>
    <w:rsid w:val="00246F72"/>
    <w:rsid w:val="00255291"/>
    <w:rsid w:val="00260E35"/>
    <w:rsid w:val="00261268"/>
    <w:rsid w:val="00261310"/>
    <w:rsid w:val="00262EAE"/>
    <w:rsid w:val="002639F1"/>
    <w:rsid w:val="00265242"/>
    <w:rsid w:val="00272DA3"/>
    <w:rsid w:val="00274570"/>
    <w:rsid w:val="00274D7C"/>
    <w:rsid w:val="002772CC"/>
    <w:rsid w:val="0028288F"/>
    <w:rsid w:val="00282B26"/>
    <w:rsid w:val="00286499"/>
    <w:rsid w:val="002865E6"/>
    <w:rsid w:val="002874E5"/>
    <w:rsid w:val="00290F3D"/>
    <w:rsid w:val="002931E4"/>
    <w:rsid w:val="0029494C"/>
    <w:rsid w:val="00295709"/>
    <w:rsid w:val="00296410"/>
    <w:rsid w:val="0029646E"/>
    <w:rsid w:val="002A155F"/>
    <w:rsid w:val="002A3B03"/>
    <w:rsid w:val="002A50BD"/>
    <w:rsid w:val="002A55C7"/>
    <w:rsid w:val="002A702B"/>
    <w:rsid w:val="002A74DD"/>
    <w:rsid w:val="002B0BAE"/>
    <w:rsid w:val="002B3014"/>
    <w:rsid w:val="002B328C"/>
    <w:rsid w:val="002B69C5"/>
    <w:rsid w:val="002C0715"/>
    <w:rsid w:val="002C36BF"/>
    <w:rsid w:val="002C5B2F"/>
    <w:rsid w:val="002D12F3"/>
    <w:rsid w:val="002D24C0"/>
    <w:rsid w:val="002D2503"/>
    <w:rsid w:val="002D611C"/>
    <w:rsid w:val="002D6B7A"/>
    <w:rsid w:val="002D6EAB"/>
    <w:rsid w:val="002E0BB2"/>
    <w:rsid w:val="002E2071"/>
    <w:rsid w:val="002E402D"/>
    <w:rsid w:val="002E596A"/>
    <w:rsid w:val="002F2333"/>
    <w:rsid w:val="002F2770"/>
    <w:rsid w:val="002F2C45"/>
    <w:rsid w:val="002F483E"/>
    <w:rsid w:val="002F5573"/>
    <w:rsid w:val="002F59EC"/>
    <w:rsid w:val="003019ED"/>
    <w:rsid w:val="00301D48"/>
    <w:rsid w:val="00310755"/>
    <w:rsid w:val="00314889"/>
    <w:rsid w:val="00314BBC"/>
    <w:rsid w:val="0031751F"/>
    <w:rsid w:val="00317722"/>
    <w:rsid w:val="00317BF9"/>
    <w:rsid w:val="0032143D"/>
    <w:rsid w:val="00324674"/>
    <w:rsid w:val="003248A5"/>
    <w:rsid w:val="003342B1"/>
    <w:rsid w:val="0033490F"/>
    <w:rsid w:val="0034004D"/>
    <w:rsid w:val="003402EF"/>
    <w:rsid w:val="00340EB7"/>
    <w:rsid w:val="0034277B"/>
    <w:rsid w:val="003446CA"/>
    <w:rsid w:val="00345C16"/>
    <w:rsid w:val="003469C7"/>
    <w:rsid w:val="00347DAF"/>
    <w:rsid w:val="00351B7A"/>
    <w:rsid w:val="00351E6A"/>
    <w:rsid w:val="003547CB"/>
    <w:rsid w:val="003568D2"/>
    <w:rsid w:val="00361487"/>
    <w:rsid w:val="00361714"/>
    <w:rsid w:val="003678A0"/>
    <w:rsid w:val="003725CF"/>
    <w:rsid w:val="00374CEE"/>
    <w:rsid w:val="00375A85"/>
    <w:rsid w:val="00377B2F"/>
    <w:rsid w:val="00380426"/>
    <w:rsid w:val="003809B2"/>
    <w:rsid w:val="003823D8"/>
    <w:rsid w:val="00382694"/>
    <w:rsid w:val="003929CD"/>
    <w:rsid w:val="00392D22"/>
    <w:rsid w:val="00393665"/>
    <w:rsid w:val="003A01D2"/>
    <w:rsid w:val="003A2523"/>
    <w:rsid w:val="003A7EF8"/>
    <w:rsid w:val="003A7F3A"/>
    <w:rsid w:val="003B071B"/>
    <w:rsid w:val="003B09DB"/>
    <w:rsid w:val="003B0A4B"/>
    <w:rsid w:val="003B3430"/>
    <w:rsid w:val="003B3E2C"/>
    <w:rsid w:val="003B47B7"/>
    <w:rsid w:val="003C0D73"/>
    <w:rsid w:val="003D3A97"/>
    <w:rsid w:val="003E0033"/>
    <w:rsid w:val="003E1F57"/>
    <w:rsid w:val="003E3834"/>
    <w:rsid w:val="003E5F76"/>
    <w:rsid w:val="003E7CEF"/>
    <w:rsid w:val="003F2255"/>
    <w:rsid w:val="003F241C"/>
    <w:rsid w:val="003F2C7F"/>
    <w:rsid w:val="003F4B62"/>
    <w:rsid w:val="003F5DEF"/>
    <w:rsid w:val="003F6856"/>
    <w:rsid w:val="00400123"/>
    <w:rsid w:val="00401707"/>
    <w:rsid w:val="004050DC"/>
    <w:rsid w:val="00407903"/>
    <w:rsid w:val="00415F53"/>
    <w:rsid w:val="00416340"/>
    <w:rsid w:val="0041793D"/>
    <w:rsid w:val="00422F9F"/>
    <w:rsid w:val="0042300C"/>
    <w:rsid w:val="004241F1"/>
    <w:rsid w:val="00424E1B"/>
    <w:rsid w:val="00425507"/>
    <w:rsid w:val="00427653"/>
    <w:rsid w:val="00427B2B"/>
    <w:rsid w:val="00430913"/>
    <w:rsid w:val="0043133D"/>
    <w:rsid w:val="00431FA7"/>
    <w:rsid w:val="0043247D"/>
    <w:rsid w:val="00433B13"/>
    <w:rsid w:val="0043600D"/>
    <w:rsid w:val="00440123"/>
    <w:rsid w:val="00441D0A"/>
    <w:rsid w:val="00442927"/>
    <w:rsid w:val="00444CC8"/>
    <w:rsid w:val="004474CF"/>
    <w:rsid w:val="004475E1"/>
    <w:rsid w:val="00452B1F"/>
    <w:rsid w:val="00454CA6"/>
    <w:rsid w:val="00456D18"/>
    <w:rsid w:val="00461BA7"/>
    <w:rsid w:val="00461C20"/>
    <w:rsid w:val="00467967"/>
    <w:rsid w:val="00474329"/>
    <w:rsid w:val="00474CAA"/>
    <w:rsid w:val="0048264A"/>
    <w:rsid w:val="004859E4"/>
    <w:rsid w:val="004869DE"/>
    <w:rsid w:val="004879DA"/>
    <w:rsid w:val="00490F5F"/>
    <w:rsid w:val="00493B06"/>
    <w:rsid w:val="004A0167"/>
    <w:rsid w:val="004A16F9"/>
    <w:rsid w:val="004A3241"/>
    <w:rsid w:val="004A5D22"/>
    <w:rsid w:val="004A5D51"/>
    <w:rsid w:val="004A7C30"/>
    <w:rsid w:val="004B1AC3"/>
    <w:rsid w:val="004B1D68"/>
    <w:rsid w:val="004B31C8"/>
    <w:rsid w:val="004B3A9E"/>
    <w:rsid w:val="004B51CD"/>
    <w:rsid w:val="004B662C"/>
    <w:rsid w:val="004B71F0"/>
    <w:rsid w:val="004B7E12"/>
    <w:rsid w:val="004C00A8"/>
    <w:rsid w:val="004C2A4C"/>
    <w:rsid w:val="004C3FD2"/>
    <w:rsid w:val="004C47C7"/>
    <w:rsid w:val="004D02D2"/>
    <w:rsid w:val="004D181F"/>
    <w:rsid w:val="004D2023"/>
    <w:rsid w:val="004D3456"/>
    <w:rsid w:val="004D3E27"/>
    <w:rsid w:val="004D64FA"/>
    <w:rsid w:val="004D66C9"/>
    <w:rsid w:val="004D6ED8"/>
    <w:rsid w:val="004D772F"/>
    <w:rsid w:val="004E08F7"/>
    <w:rsid w:val="004E21EB"/>
    <w:rsid w:val="004E4E2E"/>
    <w:rsid w:val="004E61D0"/>
    <w:rsid w:val="004E7E81"/>
    <w:rsid w:val="004F6D40"/>
    <w:rsid w:val="00500447"/>
    <w:rsid w:val="00501738"/>
    <w:rsid w:val="005028E6"/>
    <w:rsid w:val="00506145"/>
    <w:rsid w:val="00507058"/>
    <w:rsid w:val="005114EE"/>
    <w:rsid w:val="005117DE"/>
    <w:rsid w:val="0051470D"/>
    <w:rsid w:val="005151D8"/>
    <w:rsid w:val="00515406"/>
    <w:rsid w:val="00516D08"/>
    <w:rsid w:val="00522E70"/>
    <w:rsid w:val="0052412D"/>
    <w:rsid w:val="00524520"/>
    <w:rsid w:val="00527E3F"/>
    <w:rsid w:val="005310B6"/>
    <w:rsid w:val="00532207"/>
    <w:rsid w:val="00541C02"/>
    <w:rsid w:val="005428DF"/>
    <w:rsid w:val="00545124"/>
    <w:rsid w:val="005452A8"/>
    <w:rsid w:val="005468F9"/>
    <w:rsid w:val="00551F26"/>
    <w:rsid w:val="00552681"/>
    <w:rsid w:val="00557E10"/>
    <w:rsid w:val="00561F74"/>
    <w:rsid w:val="005641C0"/>
    <w:rsid w:val="0056662A"/>
    <w:rsid w:val="00567E88"/>
    <w:rsid w:val="005705B9"/>
    <w:rsid w:val="00570716"/>
    <w:rsid w:val="005712A9"/>
    <w:rsid w:val="0058189D"/>
    <w:rsid w:val="005821AC"/>
    <w:rsid w:val="00582DDC"/>
    <w:rsid w:val="005834D6"/>
    <w:rsid w:val="00583731"/>
    <w:rsid w:val="0058546D"/>
    <w:rsid w:val="005872D2"/>
    <w:rsid w:val="00587DC6"/>
    <w:rsid w:val="005932AB"/>
    <w:rsid w:val="005939FA"/>
    <w:rsid w:val="005941E4"/>
    <w:rsid w:val="005A013B"/>
    <w:rsid w:val="005A1912"/>
    <w:rsid w:val="005A404F"/>
    <w:rsid w:val="005A5C04"/>
    <w:rsid w:val="005B03BA"/>
    <w:rsid w:val="005B38E9"/>
    <w:rsid w:val="005B4CD0"/>
    <w:rsid w:val="005B6630"/>
    <w:rsid w:val="005B7FB1"/>
    <w:rsid w:val="005C42F7"/>
    <w:rsid w:val="005D000D"/>
    <w:rsid w:val="005D0C18"/>
    <w:rsid w:val="005D247A"/>
    <w:rsid w:val="005D7647"/>
    <w:rsid w:val="005E11BC"/>
    <w:rsid w:val="005E2AC0"/>
    <w:rsid w:val="005F0BFA"/>
    <w:rsid w:val="005F1601"/>
    <w:rsid w:val="005F3398"/>
    <w:rsid w:val="005F3D2B"/>
    <w:rsid w:val="005F63E6"/>
    <w:rsid w:val="005F733B"/>
    <w:rsid w:val="00606900"/>
    <w:rsid w:val="0061068A"/>
    <w:rsid w:val="00611E89"/>
    <w:rsid w:val="0061494E"/>
    <w:rsid w:val="00614F5D"/>
    <w:rsid w:val="006160E7"/>
    <w:rsid w:val="00620971"/>
    <w:rsid w:val="006227C7"/>
    <w:rsid w:val="006250E0"/>
    <w:rsid w:val="00627029"/>
    <w:rsid w:val="00637BEC"/>
    <w:rsid w:val="00641570"/>
    <w:rsid w:val="00641A70"/>
    <w:rsid w:val="006455B4"/>
    <w:rsid w:val="00647C19"/>
    <w:rsid w:val="00653098"/>
    <w:rsid w:val="006545EC"/>
    <w:rsid w:val="00660B21"/>
    <w:rsid w:val="00660C98"/>
    <w:rsid w:val="006635D2"/>
    <w:rsid w:val="00665677"/>
    <w:rsid w:val="006667B7"/>
    <w:rsid w:val="00671AD9"/>
    <w:rsid w:val="0067493C"/>
    <w:rsid w:val="0067688B"/>
    <w:rsid w:val="00677632"/>
    <w:rsid w:val="0068285C"/>
    <w:rsid w:val="0068601C"/>
    <w:rsid w:val="006867CF"/>
    <w:rsid w:val="00686E57"/>
    <w:rsid w:val="00694E72"/>
    <w:rsid w:val="00695C7D"/>
    <w:rsid w:val="006A3274"/>
    <w:rsid w:val="006A5C72"/>
    <w:rsid w:val="006B2EA2"/>
    <w:rsid w:val="006B62A0"/>
    <w:rsid w:val="006B7811"/>
    <w:rsid w:val="006C3DFC"/>
    <w:rsid w:val="006C7694"/>
    <w:rsid w:val="006D2526"/>
    <w:rsid w:val="006D364A"/>
    <w:rsid w:val="006D3F7C"/>
    <w:rsid w:val="006D6ACB"/>
    <w:rsid w:val="006E0989"/>
    <w:rsid w:val="006E1192"/>
    <w:rsid w:val="006E40FE"/>
    <w:rsid w:val="006E4F61"/>
    <w:rsid w:val="006E4FEA"/>
    <w:rsid w:val="006E5ABF"/>
    <w:rsid w:val="006E6CEF"/>
    <w:rsid w:val="006E7B13"/>
    <w:rsid w:val="006F008F"/>
    <w:rsid w:val="006F159B"/>
    <w:rsid w:val="006F237C"/>
    <w:rsid w:val="006F2FAC"/>
    <w:rsid w:val="006F46DA"/>
    <w:rsid w:val="006F5273"/>
    <w:rsid w:val="006F5668"/>
    <w:rsid w:val="0070164D"/>
    <w:rsid w:val="007016B3"/>
    <w:rsid w:val="007059E7"/>
    <w:rsid w:val="00705F09"/>
    <w:rsid w:val="0071053A"/>
    <w:rsid w:val="00711D20"/>
    <w:rsid w:val="007125F6"/>
    <w:rsid w:val="00713222"/>
    <w:rsid w:val="00713428"/>
    <w:rsid w:val="007147A5"/>
    <w:rsid w:val="00715ECF"/>
    <w:rsid w:val="00715FE0"/>
    <w:rsid w:val="00717FD3"/>
    <w:rsid w:val="00717FF6"/>
    <w:rsid w:val="00721B97"/>
    <w:rsid w:val="00723692"/>
    <w:rsid w:val="00723F5A"/>
    <w:rsid w:val="00724211"/>
    <w:rsid w:val="00734440"/>
    <w:rsid w:val="00734DC5"/>
    <w:rsid w:val="00736CDF"/>
    <w:rsid w:val="00743F96"/>
    <w:rsid w:val="007522F5"/>
    <w:rsid w:val="00753FE4"/>
    <w:rsid w:val="00754573"/>
    <w:rsid w:val="00754AB2"/>
    <w:rsid w:val="00755D23"/>
    <w:rsid w:val="0075796A"/>
    <w:rsid w:val="00762176"/>
    <w:rsid w:val="007639F3"/>
    <w:rsid w:val="0077037B"/>
    <w:rsid w:val="0077685F"/>
    <w:rsid w:val="00781326"/>
    <w:rsid w:val="007849D0"/>
    <w:rsid w:val="007852CA"/>
    <w:rsid w:val="0079599A"/>
    <w:rsid w:val="00796ED1"/>
    <w:rsid w:val="007A14ED"/>
    <w:rsid w:val="007A6E49"/>
    <w:rsid w:val="007A7FA1"/>
    <w:rsid w:val="007B2BF3"/>
    <w:rsid w:val="007B39A3"/>
    <w:rsid w:val="007B5CBA"/>
    <w:rsid w:val="007C064C"/>
    <w:rsid w:val="007C4F7C"/>
    <w:rsid w:val="007C5485"/>
    <w:rsid w:val="007D097F"/>
    <w:rsid w:val="007D0B49"/>
    <w:rsid w:val="007D5B65"/>
    <w:rsid w:val="007E02F7"/>
    <w:rsid w:val="007E0FC5"/>
    <w:rsid w:val="007E1770"/>
    <w:rsid w:val="007E1ABD"/>
    <w:rsid w:val="007F07DF"/>
    <w:rsid w:val="007F0B15"/>
    <w:rsid w:val="007F1929"/>
    <w:rsid w:val="007F3953"/>
    <w:rsid w:val="007F7204"/>
    <w:rsid w:val="007F74D0"/>
    <w:rsid w:val="0080147D"/>
    <w:rsid w:val="00801FA7"/>
    <w:rsid w:val="00807DB0"/>
    <w:rsid w:val="00812AA4"/>
    <w:rsid w:val="00813F97"/>
    <w:rsid w:val="008209DA"/>
    <w:rsid w:val="008260F9"/>
    <w:rsid w:val="008309C8"/>
    <w:rsid w:val="00831E68"/>
    <w:rsid w:val="00834F2D"/>
    <w:rsid w:val="008356DD"/>
    <w:rsid w:val="00836AE7"/>
    <w:rsid w:val="008420E2"/>
    <w:rsid w:val="008458AD"/>
    <w:rsid w:val="008462E8"/>
    <w:rsid w:val="008502BF"/>
    <w:rsid w:val="00852165"/>
    <w:rsid w:val="00852C5C"/>
    <w:rsid w:val="00857144"/>
    <w:rsid w:val="00860F0A"/>
    <w:rsid w:val="00862638"/>
    <w:rsid w:val="0086632E"/>
    <w:rsid w:val="00867DB7"/>
    <w:rsid w:val="00870103"/>
    <w:rsid w:val="00873118"/>
    <w:rsid w:val="00882593"/>
    <w:rsid w:val="00882B63"/>
    <w:rsid w:val="00882EC1"/>
    <w:rsid w:val="00884AEB"/>
    <w:rsid w:val="00884D96"/>
    <w:rsid w:val="00885020"/>
    <w:rsid w:val="00887B6B"/>
    <w:rsid w:val="00890020"/>
    <w:rsid w:val="008903EE"/>
    <w:rsid w:val="00895F99"/>
    <w:rsid w:val="008A0522"/>
    <w:rsid w:val="008A31F0"/>
    <w:rsid w:val="008A33A8"/>
    <w:rsid w:val="008A466B"/>
    <w:rsid w:val="008A5FDF"/>
    <w:rsid w:val="008A7386"/>
    <w:rsid w:val="008B0C53"/>
    <w:rsid w:val="008B2A9F"/>
    <w:rsid w:val="008B32BA"/>
    <w:rsid w:val="008B4182"/>
    <w:rsid w:val="008B5339"/>
    <w:rsid w:val="008B5464"/>
    <w:rsid w:val="008B6911"/>
    <w:rsid w:val="008C5405"/>
    <w:rsid w:val="008C7DAE"/>
    <w:rsid w:val="008D3906"/>
    <w:rsid w:val="008D619A"/>
    <w:rsid w:val="008D7675"/>
    <w:rsid w:val="008E2DC2"/>
    <w:rsid w:val="008E3570"/>
    <w:rsid w:val="008E5A1F"/>
    <w:rsid w:val="008F3D8C"/>
    <w:rsid w:val="008F4FF0"/>
    <w:rsid w:val="008F6863"/>
    <w:rsid w:val="008F785B"/>
    <w:rsid w:val="009002E1"/>
    <w:rsid w:val="00902895"/>
    <w:rsid w:val="00902B58"/>
    <w:rsid w:val="00905CFD"/>
    <w:rsid w:val="00905F79"/>
    <w:rsid w:val="0091047A"/>
    <w:rsid w:val="009109E4"/>
    <w:rsid w:val="009120F8"/>
    <w:rsid w:val="00912A19"/>
    <w:rsid w:val="00915241"/>
    <w:rsid w:val="00916422"/>
    <w:rsid w:val="00916FFE"/>
    <w:rsid w:val="00920252"/>
    <w:rsid w:val="00922628"/>
    <w:rsid w:val="00922AF6"/>
    <w:rsid w:val="009230FA"/>
    <w:rsid w:val="009231B8"/>
    <w:rsid w:val="00923F6C"/>
    <w:rsid w:val="009266A7"/>
    <w:rsid w:val="009279CB"/>
    <w:rsid w:val="00931C56"/>
    <w:rsid w:val="009332F4"/>
    <w:rsid w:val="009363A6"/>
    <w:rsid w:val="00937DB5"/>
    <w:rsid w:val="00937EAA"/>
    <w:rsid w:val="0094430F"/>
    <w:rsid w:val="00944BD6"/>
    <w:rsid w:val="0094530F"/>
    <w:rsid w:val="00945AE1"/>
    <w:rsid w:val="00946E8D"/>
    <w:rsid w:val="009474DB"/>
    <w:rsid w:val="009515EE"/>
    <w:rsid w:val="0095213F"/>
    <w:rsid w:val="009534CB"/>
    <w:rsid w:val="009568B4"/>
    <w:rsid w:val="009608E4"/>
    <w:rsid w:val="00964215"/>
    <w:rsid w:val="0097024C"/>
    <w:rsid w:val="00970EF0"/>
    <w:rsid w:val="009711C8"/>
    <w:rsid w:val="009714BD"/>
    <w:rsid w:val="00971584"/>
    <w:rsid w:val="00980DE3"/>
    <w:rsid w:val="009820AF"/>
    <w:rsid w:val="00986650"/>
    <w:rsid w:val="00986761"/>
    <w:rsid w:val="009874AE"/>
    <w:rsid w:val="00991BDF"/>
    <w:rsid w:val="00992AA9"/>
    <w:rsid w:val="00995EBE"/>
    <w:rsid w:val="009A14A0"/>
    <w:rsid w:val="009A22B1"/>
    <w:rsid w:val="009A28A9"/>
    <w:rsid w:val="009A328F"/>
    <w:rsid w:val="009A480E"/>
    <w:rsid w:val="009B02F4"/>
    <w:rsid w:val="009B0A52"/>
    <w:rsid w:val="009B231A"/>
    <w:rsid w:val="009B6B17"/>
    <w:rsid w:val="009C1F35"/>
    <w:rsid w:val="009C43DF"/>
    <w:rsid w:val="009C5744"/>
    <w:rsid w:val="009D2AFC"/>
    <w:rsid w:val="009D4887"/>
    <w:rsid w:val="009D4A02"/>
    <w:rsid w:val="009E2F15"/>
    <w:rsid w:val="009E3924"/>
    <w:rsid w:val="009E4B68"/>
    <w:rsid w:val="009E4D7D"/>
    <w:rsid w:val="009E76F3"/>
    <w:rsid w:val="009F176F"/>
    <w:rsid w:val="009F3DCE"/>
    <w:rsid w:val="009F439B"/>
    <w:rsid w:val="009F4FB0"/>
    <w:rsid w:val="009F5771"/>
    <w:rsid w:val="009F5C93"/>
    <w:rsid w:val="009F64A0"/>
    <w:rsid w:val="009F70C6"/>
    <w:rsid w:val="00A03686"/>
    <w:rsid w:val="00A03917"/>
    <w:rsid w:val="00A040B1"/>
    <w:rsid w:val="00A049F6"/>
    <w:rsid w:val="00A05802"/>
    <w:rsid w:val="00A070FE"/>
    <w:rsid w:val="00A1097E"/>
    <w:rsid w:val="00A116EC"/>
    <w:rsid w:val="00A1197B"/>
    <w:rsid w:val="00A12CE3"/>
    <w:rsid w:val="00A17700"/>
    <w:rsid w:val="00A230B3"/>
    <w:rsid w:val="00A23D20"/>
    <w:rsid w:val="00A24E0A"/>
    <w:rsid w:val="00A304C5"/>
    <w:rsid w:val="00A31D90"/>
    <w:rsid w:val="00A3435B"/>
    <w:rsid w:val="00A354E3"/>
    <w:rsid w:val="00A35EE3"/>
    <w:rsid w:val="00A401E0"/>
    <w:rsid w:val="00A402AF"/>
    <w:rsid w:val="00A41978"/>
    <w:rsid w:val="00A45187"/>
    <w:rsid w:val="00A45CAA"/>
    <w:rsid w:val="00A50354"/>
    <w:rsid w:val="00A50938"/>
    <w:rsid w:val="00A52EF9"/>
    <w:rsid w:val="00A56587"/>
    <w:rsid w:val="00A56E21"/>
    <w:rsid w:val="00A649E0"/>
    <w:rsid w:val="00A65B26"/>
    <w:rsid w:val="00A65BCB"/>
    <w:rsid w:val="00A702CF"/>
    <w:rsid w:val="00A70CE4"/>
    <w:rsid w:val="00A73E9C"/>
    <w:rsid w:val="00A75B26"/>
    <w:rsid w:val="00A76F23"/>
    <w:rsid w:val="00A777AE"/>
    <w:rsid w:val="00A80657"/>
    <w:rsid w:val="00A8252E"/>
    <w:rsid w:val="00A83B78"/>
    <w:rsid w:val="00A854F4"/>
    <w:rsid w:val="00A86541"/>
    <w:rsid w:val="00A910E0"/>
    <w:rsid w:val="00A91352"/>
    <w:rsid w:val="00A94890"/>
    <w:rsid w:val="00A95C6F"/>
    <w:rsid w:val="00A95E0A"/>
    <w:rsid w:val="00A974D0"/>
    <w:rsid w:val="00A97805"/>
    <w:rsid w:val="00A97C41"/>
    <w:rsid w:val="00AA6926"/>
    <w:rsid w:val="00AB1CDE"/>
    <w:rsid w:val="00AB202D"/>
    <w:rsid w:val="00AB5576"/>
    <w:rsid w:val="00AB68F4"/>
    <w:rsid w:val="00AC1600"/>
    <w:rsid w:val="00AC26C6"/>
    <w:rsid w:val="00AC3308"/>
    <w:rsid w:val="00AC3598"/>
    <w:rsid w:val="00AC361A"/>
    <w:rsid w:val="00AC424D"/>
    <w:rsid w:val="00AC572F"/>
    <w:rsid w:val="00AD25D3"/>
    <w:rsid w:val="00AD2715"/>
    <w:rsid w:val="00AD379F"/>
    <w:rsid w:val="00AD51DD"/>
    <w:rsid w:val="00AD7763"/>
    <w:rsid w:val="00AE2407"/>
    <w:rsid w:val="00AE3519"/>
    <w:rsid w:val="00AE3BAC"/>
    <w:rsid w:val="00AE3C48"/>
    <w:rsid w:val="00AE4E0D"/>
    <w:rsid w:val="00AE4FA1"/>
    <w:rsid w:val="00AE5FB8"/>
    <w:rsid w:val="00AE72DD"/>
    <w:rsid w:val="00AF0524"/>
    <w:rsid w:val="00AF235C"/>
    <w:rsid w:val="00AF36F1"/>
    <w:rsid w:val="00AF5E80"/>
    <w:rsid w:val="00B013A9"/>
    <w:rsid w:val="00B02EC0"/>
    <w:rsid w:val="00B07976"/>
    <w:rsid w:val="00B119D3"/>
    <w:rsid w:val="00B121DD"/>
    <w:rsid w:val="00B15BCD"/>
    <w:rsid w:val="00B2366F"/>
    <w:rsid w:val="00B248D9"/>
    <w:rsid w:val="00B259F8"/>
    <w:rsid w:val="00B25E87"/>
    <w:rsid w:val="00B330A6"/>
    <w:rsid w:val="00B339BA"/>
    <w:rsid w:val="00B3553D"/>
    <w:rsid w:val="00B3582C"/>
    <w:rsid w:val="00B408A7"/>
    <w:rsid w:val="00B44327"/>
    <w:rsid w:val="00B45CE2"/>
    <w:rsid w:val="00B46AA7"/>
    <w:rsid w:val="00B50AC7"/>
    <w:rsid w:val="00B51539"/>
    <w:rsid w:val="00B60A03"/>
    <w:rsid w:val="00B63A02"/>
    <w:rsid w:val="00B65D68"/>
    <w:rsid w:val="00B706CF"/>
    <w:rsid w:val="00B70DA8"/>
    <w:rsid w:val="00B730A4"/>
    <w:rsid w:val="00B76523"/>
    <w:rsid w:val="00B76BED"/>
    <w:rsid w:val="00B811B4"/>
    <w:rsid w:val="00B81651"/>
    <w:rsid w:val="00B8195E"/>
    <w:rsid w:val="00B828A3"/>
    <w:rsid w:val="00B84037"/>
    <w:rsid w:val="00B84AD0"/>
    <w:rsid w:val="00B91B9E"/>
    <w:rsid w:val="00B9296A"/>
    <w:rsid w:val="00B97044"/>
    <w:rsid w:val="00B97A63"/>
    <w:rsid w:val="00BA0370"/>
    <w:rsid w:val="00BA3993"/>
    <w:rsid w:val="00BA4024"/>
    <w:rsid w:val="00BA6493"/>
    <w:rsid w:val="00BA7544"/>
    <w:rsid w:val="00BB4C94"/>
    <w:rsid w:val="00BB52CD"/>
    <w:rsid w:val="00BC17E9"/>
    <w:rsid w:val="00BC31E9"/>
    <w:rsid w:val="00BC330E"/>
    <w:rsid w:val="00BC7201"/>
    <w:rsid w:val="00BD266A"/>
    <w:rsid w:val="00BD2FE7"/>
    <w:rsid w:val="00BD577D"/>
    <w:rsid w:val="00BD58AE"/>
    <w:rsid w:val="00BD5FFE"/>
    <w:rsid w:val="00BD6220"/>
    <w:rsid w:val="00BD7592"/>
    <w:rsid w:val="00BD790E"/>
    <w:rsid w:val="00BE3476"/>
    <w:rsid w:val="00BE3A8C"/>
    <w:rsid w:val="00BE6D40"/>
    <w:rsid w:val="00BE7823"/>
    <w:rsid w:val="00BF2E08"/>
    <w:rsid w:val="00C0004E"/>
    <w:rsid w:val="00C001BC"/>
    <w:rsid w:val="00C0377E"/>
    <w:rsid w:val="00C0772C"/>
    <w:rsid w:val="00C14769"/>
    <w:rsid w:val="00C15883"/>
    <w:rsid w:val="00C219E9"/>
    <w:rsid w:val="00C259C0"/>
    <w:rsid w:val="00C25FA5"/>
    <w:rsid w:val="00C262A0"/>
    <w:rsid w:val="00C27EF2"/>
    <w:rsid w:val="00C30937"/>
    <w:rsid w:val="00C30D4C"/>
    <w:rsid w:val="00C37F8B"/>
    <w:rsid w:val="00C40199"/>
    <w:rsid w:val="00C458FF"/>
    <w:rsid w:val="00C4640C"/>
    <w:rsid w:val="00C500D9"/>
    <w:rsid w:val="00C52382"/>
    <w:rsid w:val="00C5472C"/>
    <w:rsid w:val="00C5531A"/>
    <w:rsid w:val="00C56584"/>
    <w:rsid w:val="00C5661A"/>
    <w:rsid w:val="00C57D49"/>
    <w:rsid w:val="00C64C17"/>
    <w:rsid w:val="00C66D39"/>
    <w:rsid w:val="00C676F2"/>
    <w:rsid w:val="00C705C4"/>
    <w:rsid w:val="00C74B57"/>
    <w:rsid w:val="00C875CF"/>
    <w:rsid w:val="00C918AC"/>
    <w:rsid w:val="00C9403E"/>
    <w:rsid w:val="00C9524C"/>
    <w:rsid w:val="00CA05E5"/>
    <w:rsid w:val="00CA2F07"/>
    <w:rsid w:val="00CA4189"/>
    <w:rsid w:val="00CB1D66"/>
    <w:rsid w:val="00CB245C"/>
    <w:rsid w:val="00CB3415"/>
    <w:rsid w:val="00CB3D0E"/>
    <w:rsid w:val="00CB553F"/>
    <w:rsid w:val="00CC4E03"/>
    <w:rsid w:val="00CC6111"/>
    <w:rsid w:val="00CD2F5A"/>
    <w:rsid w:val="00CD36C5"/>
    <w:rsid w:val="00CD4B74"/>
    <w:rsid w:val="00CD6465"/>
    <w:rsid w:val="00CD7A9E"/>
    <w:rsid w:val="00CE0E22"/>
    <w:rsid w:val="00CE10BD"/>
    <w:rsid w:val="00CE6277"/>
    <w:rsid w:val="00D004E5"/>
    <w:rsid w:val="00D02A96"/>
    <w:rsid w:val="00D04845"/>
    <w:rsid w:val="00D06E51"/>
    <w:rsid w:val="00D0773C"/>
    <w:rsid w:val="00D10B0E"/>
    <w:rsid w:val="00D10CDE"/>
    <w:rsid w:val="00D1125A"/>
    <w:rsid w:val="00D118C9"/>
    <w:rsid w:val="00D12380"/>
    <w:rsid w:val="00D13D07"/>
    <w:rsid w:val="00D14555"/>
    <w:rsid w:val="00D14882"/>
    <w:rsid w:val="00D14C8D"/>
    <w:rsid w:val="00D14DDE"/>
    <w:rsid w:val="00D1623D"/>
    <w:rsid w:val="00D2105F"/>
    <w:rsid w:val="00D21BD1"/>
    <w:rsid w:val="00D24CDD"/>
    <w:rsid w:val="00D25282"/>
    <w:rsid w:val="00D3048E"/>
    <w:rsid w:val="00D33080"/>
    <w:rsid w:val="00D355CC"/>
    <w:rsid w:val="00D368B1"/>
    <w:rsid w:val="00D37052"/>
    <w:rsid w:val="00D40852"/>
    <w:rsid w:val="00D41CF2"/>
    <w:rsid w:val="00D42075"/>
    <w:rsid w:val="00D44FCA"/>
    <w:rsid w:val="00D45AE8"/>
    <w:rsid w:val="00D47144"/>
    <w:rsid w:val="00D5047A"/>
    <w:rsid w:val="00D510F5"/>
    <w:rsid w:val="00D533CF"/>
    <w:rsid w:val="00D54110"/>
    <w:rsid w:val="00D56E62"/>
    <w:rsid w:val="00D60CB2"/>
    <w:rsid w:val="00D615A1"/>
    <w:rsid w:val="00D62B51"/>
    <w:rsid w:val="00D630BD"/>
    <w:rsid w:val="00D640BC"/>
    <w:rsid w:val="00D651B4"/>
    <w:rsid w:val="00D66BB7"/>
    <w:rsid w:val="00D70E31"/>
    <w:rsid w:val="00D7580B"/>
    <w:rsid w:val="00D75BC4"/>
    <w:rsid w:val="00D8065A"/>
    <w:rsid w:val="00D8592B"/>
    <w:rsid w:val="00D8661D"/>
    <w:rsid w:val="00D86A8E"/>
    <w:rsid w:val="00D87968"/>
    <w:rsid w:val="00D93C96"/>
    <w:rsid w:val="00D96F1B"/>
    <w:rsid w:val="00D97F86"/>
    <w:rsid w:val="00DA042C"/>
    <w:rsid w:val="00DA0E64"/>
    <w:rsid w:val="00DA7649"/>
    <w:rsid w:val="00DB03B0"/>
    <w:rsid w:val="00DB068D"/>
    <w:rsid w:val="00DB1618"/>
    <w:rsid w:val="00DB1CCE"/>
    <w:rsid w:val="00DB2541"/>
    <w:rsid w:val="00DB2B5A"/>
    <w:rsid w:val="00DB7297"/>
    <w:rsid w:val="00DC32E7"/>
    <w:rsid w:val="00DC4593"/>
    <w:rsid w:val="00DC4601"/>
    <w:rsid w:val="00DC627F"/>
    <w:rsid w:val="00DD3B08"/>
    <w:rsid w:val="00DD4531"/>
    <w:rsid w:val="00DD4E54"/>
    <w:rsid w:val="00DD64B9"/>
    <w:rsid w:val="00DD7409"/>
    <w:rsid w:val="00DD78B0"/>
    <w:rsid w:val="00DD7996"/>
    <w:rsid w:val="00DE1376"/>
    <w:rsid w:val="00DE35D8"/>
    <w:rsid w:val="00DF186D"/>
    <w:rsid w:val="00DF4997"/>
    <w:rsid w:val="00DF4AED"/>
    <w:rsid w:val="00DF5F47"/>
    <w:rsid w:val="00DF7FF1"/>
    <w:rsid w:val="00E00FB6"/>
    <w:rsid w:val="00E02C14"/>
    <w:rsid w:val="00E0542B"/>
    <w:rsid w:val="00E0615C"/>
    <w:rsid w:val="00E07BE6"/>
    <w:rsid w:val="00E07D09"/>
    <w:rsid w:val="00E112B7"/>
    <w:rsid w:val="00E11C81"/>
    <w:rsid w:val="00E160CC"/>
    <w:rsid w:val="00E17031"/>
    <w:rsid w:val="00E176F9"/>
    <w:rsid w:val="00E229D2"/>
    <w:rsid w:val="00E25EFF"/>
    <w:rsid w:val="00E273C3"/>
    <w:rsid w:val="00E2777F"/>
    <w:rsid w:val="00E305C7"/>
    <w:rsid w:val="00E317C6"/>
    <w:rsid w:val="00E329F8"/>
    <w:rsid w:val="00E32D6E"/>
    <w:rsid w:val="00E3518D"/>
    <w:rsid w:val="00E35BF2"/>
    <w:rsid w:val="00E37B24"/>
    <w:rsid w:val="00E410E0"/>
    <w:rsid w:val="00E475B6"/>
    <w:rsid w:val="00E52BCD"/>
    <w:rsid w:val="00E55844"/>
    <w:rsid w:val="00E5585B"/>
    <w:rsid w:val="00E61DEC"/>
    <w:rsid w:val="00E6217C"/>
    <w:rsid w:val="00E641EB"/>
    <w:rsid w:val="00E64CAD"/>
    <w:rsid w:val="00E67667"/>
    <w:rsid w:val="00E67F08"/>
    <w:rsid w:val="00E700A3"/>
    <w:rsid w:val="00E72C1C"/>
    <w:rsid w:val="00E7419E"/>
    <w:rsid w:val="00E76BBF"/>
    <w:rsid w:val="00E77398"/>
    <w:rsid w:val="00E80365"/>
    <w:rsid w:val="00E81C1B"/>
    <w:rsid w:val="00E87C61"/>
    <w:rsid w:val="00E929B0"/>
    <w:rsid w:val="00E97301"/>
    <w:rsid w:val="00E978CA"/>
    <w:rsid w:val="00EA17AB"/>
    <w:rsid w:val="00EA5E03"/>
    <w:rsid w:val="00EA7E92"/>
    <w:rsid w:val="00EB00D4"/>
    <w:rsid w:val="00EB225C"/>
    <w:rsid w:val="00EB3009"/>
    <w:rsid w:val="00EB34C2"/>
    <w:rsid w:val="00EB45D9"/>
    <w:rsid w:val="00EB4C65"/>
    <w:rsid w:val="00EB658F"/>
    <w:rsid w:val="00EC1E4E"/>
    <w:rsid w:val="00EC5A9F"/>
    <w:rsid w:val="00EC73FD"/>
    <w:rsid w:val="00ED0659"/>
    <w:rsid w:val="00ED10BF"/>
    <w:rsid w:val="00ED119C"/>
    <w:rsid w:val="00ED2A85"/>
    <w:rsid w:val="00ED339E"/>
    <w:rsid w:val="00ED4CF6"/>
    <w:rsid w:val="00ED4D32"/>
    <w:rsid w:val="00EE43D8"/>
    <w:rsid w:val="00EF0566"/>
    <w:rsid w:val="00EF0690"/>
    <w:rsid w:val="00EF1973"/>
    <w:rsid w:val="00EF228C"/>
    <w:rsid w:val="00EF22A7"/>
    <w:rsid w:val="00EF3109"/>
    <w:rsid w:val="00EF3805"/>
    <w:rsid w:val="00EF4999"/>
    <w:rsid w:val="00EF7501"/>
    <w:rsid w:val="00F00FC8"/>
    <w:rsid w:val="00F015F6"/>
    <w:rsid w:val="00F038D9"/>
    <w:rsid w:val="00F04707"/>
    <w:rsid w:val="00F068CC"/>
    <w:rsid w:val="00F12D6C"/>
    <w:rsid w:val="00F15E52"/>
    <w:rsid w:val="00F16A14"/>
    <w:rsid w:val="00F16BBA"/>
    <w:rsid w:val="00F21117"/>
    <w:rsid w:val="00F211E7"/>
    <w:rsid w:val="00F21B0C"/>
    <w:rsid w:val="00F227F3"/>
    <w:rsid w:val="00F22841"/>
    <w:rsid w:val="00F2541A"/>
    <w:rsid w:val="00F25ACE"/>
    <w:rsid w:val="00F25FAB"/>
    <w:rsid w:val="00F334EA"/>
    <w:rsid w:val="00F33E2A"/>
    <w:rsid w:val="00F3700C"/>
    <w:rsid w:val="00F41418"/>
    <w:rsid w:val="00F416AE"/>
    <w:rsid w:val="00F41899"/>
    <w:rsid w:val="00F42533"/>
    <w:rsid w:val="00F47167"/>
    <w:rsid w:val="00F477A0"/>
    <w:rsid w:val="00F522B0"/>
    <w:rsid w:val="00F52AE5"/>
    <w:rsid w:val="00F54278"/>
    <w:rsid w:val="00F6632F"/>
    <w:rsid w:val="00F72EB8"/>
    <w:rsid w:val="00F73AD8"/>
    <w:rsid w:val="00F73D64"/>
    <w:rsid w:val="00F75E45"/>
    <w:rsid w:val="00F762C6"/>
    <w:rsid w:val="00F81127"/>
    <w:rsid w:val="00F83213"/>
    <w:rsid w:val="00F83324"/>
    <w:rsid w:val="00F8533B"/>
    <w:rsid w:val="00F92004"/>
    <w:rsid w:val="00F92125"/>
    <w:rsid w:val="00F93701"/>
    <w:rsid w:val="00F93BF9"/>
    <w:rsid w:val="00FA3D22"/>
    <w:rsid w:val="00FA4C8B"/>
    <w:rsid w:val="00FA538A"/>
    <w:rsid w:val="00FA690A"/>
    <w:rsid w:val="00FB1DA5"/>
    <w:rsid w:val="00FB23E0"/>
    <w:rsid w:val="00FB2780"/>
    <w:rsid w:val="00FB7A54"/>
    <w:rsid w:val="00FC1156"/>
    <w:rsid w:val="00FC3AF5"/>
    <w:rsid w:val="00FC5655"/>
    <w:rsid w:val="00FC604B"/>
    <w:rsid w:val="00FC70CE"/>
    <w:rsid w:val="00FD0BFE"/>
    <w:rsid w:val="00FD1899"/>
    <w:rsid w:val="00FD213B"/>
    <w:rsid w:val="00FD381D"/>
    <w:rsid w:val="00FD549B"/>
    <w:rsid w:val="00FD5FC9"/>
    <w:rsid w:val="00FE3FA2"/>
    <w:rsid w:val="00FF321B"/>
    <w:rsid w:val="00FF4B61"/>
    <w:rsid w:val="00FF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52EF9"/>
    <w:rPr>
      <w:rFonts w:cs="Times New Roman"/>
    </w:rPr>
  </w:style>
  <w:style w:type="paragraph" w:styleId="a5">
    <w:name w:val="footer"/>
    <w:basedOn w:val="a"/>
    <w:link w:val="a6"/>
    <w:uiPriority w:val="99"/>
    <w:rsid w:val="00A5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52EF9"/>
    <w:rPr>
      <w:rFonts w:cs="Times New Roman"/>
    </w:rPr>
  </w:style>
  <w:style w:type="paragraph" w:customStyle="1" w:styleId="newncpi">
    <w:name w:val="newncpi"/>
    <w:basedOn w:val="a"/>
    <w:uiPriority w:val="99"/>
    <w:rsid w:val="00A116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E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E2EF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9"/>
    <w:link w:val="10"/>
    <w:uiPriority w:val="99"/>
    <w:rsid w:val="003547CB"/>
    <w:pPr>
      <w:jc w:val="both"/>
    </w:pPr>
    <w:rPr>
      <w:rFonts w:ascii="Times New Roman" w:hAnsi="Times New Roman"/>
      <w:sz w:val="30"/>
      <w:szCs w:val="20"/>
      <w:lang w:eastAsia="ru-RU"/>
    </w:rPr>
  </w:style>
  <w:style w:type="character" w:customStyle="1" w:styleId="10">
    <w:name w:val="Стиль1 Знак"/>
    <w:link w:val="1"/>
    <w:uiPriority w:val="99"/>
    <w:locked/>
    <w:rsid w:val="003547CB"/>
    <w:rPr>
      <w:rFonts w:ascii="Times New Roman" w:hAnsi="Times New Roman"/>
      <w:sz w:val="30"/>
      <w:lang w:eastAsia="ru-RU"/>
    </w:rPr>
  </w:style>
  <w:style w:type="paragraph" w:styleId="a9">
    <w:name w:val="No Spacing"/>
    <w:uiPriority w:val="99"/>
    <w:qFormat/>
    <w:rsid w:val="003547CB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831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52EF9"/>
    <w:rPr>
      <w:rFonts w:cs="Times New Roman"/>
    </w:rPr>
  </w:style>
  <w:style w:type="paragraph" w:styleId="a5">
    <w:name w:val="footer"/>
    <w:basedOn w:val="a"/>
    <w:link w:val="a6"/>
    <w:uiPriority w:val="99"/>
    <w:rsid w:val="00A5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52EF9"/>
    <w:rPr>
      <w:rFonts w:cs="Times New Roman"/>
    </w:rPr>
  </w:style>
  <w:style w:type="paragraph" w:customStyle="1" w:styleId="newncpi">
    <w:name w:val="newncpi"/>
    <w:basedOn w:val="a"/>
    <w:uiPriority w:val="99"/>
    <w:rsid w:val="00A116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E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E2EF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9"/>
    <w:link w:val="10"/>
    <w:uiPriority w:val="99"/>
    <w:rsid w:val="003547CB"/>
    <w:pPr>
      <w:jc w:val="both"/>
    </w:pPr>
    <w:rPr>
      <w:rFonts w:ascii="Times New Roman" w:hAnsi="Times New Roman"/>
      <w:sz w:val="30"/>
      <w:szCs w:val="20"/>
      <w:lang w:eastAsia="ru-RU"/>
    </w:rPr>
  </w:style>
  <w:style w:type="character" w:customStyle="1" w:styleId="10">
    <w:name w:val="Стиль1 Знак"/>
    <w:link w:val="1"/>
    <w:uiPriority w:val="99"/>
    <w:locked/>
    <w:rsid w:val="003547CB"/>
    <w:rPr>
      <w:rFonts w:ascii="Times New Roman" w:hAnsi="Times New Roman"/>
      <w:sz w:val="30"/>
      <w:lang w:eastAsia="ru-RU"/>
    </w:rPr>
  </w:style>
  <w:style w:type="paragraph" w:styleId="a9">
    <w:name w:val="No Spacing"/>
    <w:uiPriority w:val="99"/>
    <w:qFormat/>
    <w:rsid w:val="003547CB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831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oik</Company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Калугина</dc:creator>
  <cp:keywords/>
  <dc:description/>
  <cp:lastModifiedBy>1</cp:lastModifiedBy>
  <cp:revision>19</cp:revision>
  <cp:lastPrinted>2021-02-17T09:09:00Z</cp:lastPrinted>
  <dcterms:created xsi:type="dcterms:W3CDTF">2021-02-17T06:42:00Z</dcterms:created>
  <dcterms:modified xsi:type="dcterms:W3CDTF">2021-02-17T09:10:00Z</dcterms:modified>
</cp:coreProperties>
</file>