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6" w:rsidRPr="000D245D" w:rsidRDefault="00AB65C6" w:rsidP="000D245D">
      <w:pPr>
        <w:jc w:val="right"/>
        <w:rPr>
          <w:rFonts w:eastAsia="Calibri"/>
        </w:rPr>
      </w:pPr>
      <w:r w:rsidRPr="000D245D">
        <w:rPr>
          <w:rFonts w:eastAsia="Calibri"/>
        </w:rPr>
        <w:t>МАТЕРИАЛЫ</w:t>
      </w:r>
      <w:r w:rsidR="000D245D">
        <w:rPr>
          <w:rFonts w:eastAsia="Calibri"/>
        </w:rPr>
        <w:t xml:space="preserve"> </w:t>
      </w:r>
      <w:r w:rsidRPr="000D245D">
        <w:rPr>
          <w:rFonts w:eastAsia="Calibri"/>
        </w:rPr>
        <w:t>для членов информационно-пропагандистских групп</w:t>
      </w:r>
      <w:r w:rsidR="000D245D">
        <w:rPr>
          <w:rFonts w:eastAsia="Calibri"/>
        </w:rPr>
        <w:t xml:space="preserve"> </w:t>
      </w:r>
      <w:r w:rsidRPr="000D245D">
        <w:rPr>
          <w:rFonts w:eastAsia="Calibri"/>
        </w:rPr>
        <w:t>(</w:t>
      </w:r>
      <w:r w:rsidR="008D2CEB" w:rsidRPr="000D245D">
        <w:t>но</w:t>
      </w:r>
      <w:r w:rsidRPr="000D245D">
        <w:t>ябрь</w:t>
      </w:r>
      <w:r w:rsidRPr="000D245D">
        <w:rPr>
          <w:rFonts w:eastAsia="Calibri"/>
        </w:rPr>
        <w:t xml:space="preserve"> 20</w:t>
      </w:r>
      <w:r w:rsidR="008D2CEB" w:rsidRPr="000D245D">
        <w:rPr>
          <w:rFonts w:eastAsia="Calibri"/>
        </w:rPr>
        <w:t>22</w:t>
      </w:r>
      <w:r w:rsidRPr="000D245D">
        <w:rPr>
          <w:rFonts w:eastAsia="Calibri"/>
        </w:rPr>
        <w:t xml:space="preserve"> г.)</w:t>
      </w:r>
    </w:p>
    <w:p w:rsidR="00AB65C6" w:rsidRPr="000D245D" w:rsidRDefault="00AB65C6" w:rsidP="000D245D">
      <w:pPr>
        <w:spacing w:before="120" w:line="280" w:lineRule="exact"/>
        <w:jc w:val="right"/>
        <w:rPr>
          <w:rFonts w:eastAsia="Calibri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0D245D" w:rsidRPr="00B76355" w:rsidRDefault="000D245D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053C56" w:rsidRPr="00550545" w:rsidRDefault="00D867AB" w:rsidP="00B76355">
      <w:pPr>
        <w:spacing w:before="240"/>
        <w:jc w:val="center"/>
        <w:rPr>
          <w:b/>
          <w:bCs/>
          <w:sz w:val="26"/>
          <w:szCs w:val="26"/>
        </w:rPr>
      </w:pPr>
      <w:r w:rsidRPr="00550545">
        <w:rPr>
          <w:b/>
          <w:spacing w:val="-4"/>
          <w:sz w:val="26"/>
          <w:szCs w:val="26"/>
        </w:rPr>
        <w:t>1. НАПРАВЛЕНИЯ</w:t>
      </w:r>
      <w:r w:rsidR="008C04E5" w:rsidRPr="00550545">
        <w:rPr>
          <w:b/>
          <w:spacing w:val="-4"/>
          <w:sz w:val="26"/>
          <w:szCs w:val="26"/>
        </w:rPr>
        <w:t xml:space="preserve"> РАЗВИТИЯ СИСТЕМЫ ЖКХ </w:t>
      </w:r>
      <w:r w:rsidR="008C04E5" w:rsidRPr="00550545">
        <w:rPr>
          <w:b/>
          <w:spacing w:val="-4"/>
          <w:sz w:val="26"/>
          <w:szCs w:val="26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0D245D" w:rsidRDefault="0035683C" w:rsidP="000D245D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EE60AE" w:rsidP="000D245D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0D245D" w:rsidRDefault="000D245D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lastRenderedPageBreak/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A866E2" w:rsidRPr="00A866E2" w:rsidRDefault="00A866E2" w:rsidP="00A866E2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A866E2">
        <w:rPr>
          <w:bCs/>
          <w:sz w:val="30"/>
          <w:szCs w:val="30"/>
        </w:rPr>
        <w:t xml:space="preserve">В </w:t>
      </w:r>
      <w:r w:rsidRPr="00A866E2">
        <w:rPr>
          <w:b/>
          <w:bCs/>
          <w:sz w:val="30"/>
          <w:szCs w:val="30"/>
        </w:rPr>
        <w:t>Брестской области</w:t>
      </w:r>
      <w:r w:rsidRPr="00A866E2">
        <w:rPr>
          <w:bCs/>
          <w:sz w:val="30"/>
          <w:szCs w:val="30"/>
        </w:rPr>
        <w:t xml:space="preserve"> за январь- сентябрь 2022 г. в эксплуатацию после капитального ремонта введено 256,1 тыс. м2 общей площади жилых домов, за 2022 г. будет введено в эксплуатацию 326,7 тыс. м2 общей площади жилых домов после капитального ремонта. В 2023 г. планируется капитальный ремонт 373 тыс.м2 общей площади жилых зданий.</w:t>
      </w:r>
    </w:p>
    <w:p w:rsidR="00A866E2" w:rsidRPr="00B76355" w:rsidRDefault="00A866E2" w:rsidP="00A866E2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A866E2">
        <w:rPr>
          <w:bCs/>
          <w:sz w:val="30"/>
          <w:szCs w:val="30"/>
        </w:rPr>
        <w:t>С целью обеспечения безопасной эксплуатации лифтового оборудования в жилых домах за 9 месяцев т.г. заменено 185 лифтов, за 2022 г. будет заменено 244 лифта. В 2023 г. планируется замена 211 лифтов.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D245D" w:rsidRDefault="000D245D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</w:p>
    <w:p w:rsidR="000D245D" w:rsidRPr="00B76355" w:rsidRDefault="000D245D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lastRenderedPageBreak/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0D245D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0D245D" w:rsidRDefault="000D245D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</w:rPr>
      </w:pPr>
    </w:p>
    <w:p w:rsidR="00A866E2" w:rsidRPr="00A866E2" w:rsidRDefault="00A866E2" w:rsidP="00A866E2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A866E2">
        <w:rPr>
          <w:rFonts w:eastAsia="Courier New"/>
          <w:sz w:val="30"/>
          <w:szCs w:val="30"/>
          <w:shd w:val="clear" w:color="auto" w:fill="FFFFFF"/>
        </w:rPr>
        <w:t>За 9 месяцев 2022 г. в Брестской области обеспеченность населения централизованными системами водоснабжения составила 91,2 %, системами водоотведения - 74,2 %, за год составят 91,3 % и 74,3 % соответственно.</w:t>
      </w:r>
    </w:p>
    <w:p w:rsidR="00A866E2" w:rsidRPr="00B76355" w:rsidRDefault="00A866E2" w:rsidP="00A866E2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A866E2">
        <w:rPr>
          <w:rFonts w:eastAsia="Courier New"/>
          <w:sz w:val="30"/>
          <w:szCs w:val="30"/>
          <w:shd w:val="clear" w:color="auto" w:fill="FFFFFF"/>
        </w:rPr>
        <w:t>За январь-сентябрь 2022 г. выполнена перекладка 28,41 км сетей водоснабжения и 13,91 км сетей водоотведения; за январь-декабрь т.г. будет выполнена перекладка 32,4 км и 16,1 км сетей соответственно</w:t>
      </w:r>
    </w:p>
    <w:p w:rsidR="00A866E2" w:rsidRPr="00B76355" w:rsidRDefault="00A866E2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A866E2">
        <w:rPr>
          <w:rFonts w:eastAsia="Courier New"/>
          <w:b/>
          <w:sz w:val="30"/>
          <w:szCs w:val="30"/>
          <w:shd w:val="clear" w:color="auto" w:fill="FFFFFF"/>
        </w:rPr>
        <w:t>В текущем году</w:t>
      </w:r>
      <w:r w:rsidRPr="00A866E2">
        <w:rPr>
          <w:rFonts w:eastAsia="Courier New"/>
          <w:sz w:val="30"/>
          <w:szCs w:val="30"/>
          <w:shd w:val="clear" w:color="auto" w:fill="FFFFFF"/>
        </w:rPr>
        <w:t xml:space="preserve"> в </w:t>
      </w:r>
      <w:r w:rsidRPr="00A866E2">
        <w:rPr>
          <w:rFonts w:eastAsia="Courier New"/>
          <w:b/>
          <w:sz w:val="30"/>
          <w:szCs w:val="30"/>
          <w:shd w:val="clear" w:color="auto" w:fill="FFFFFF"/>
        </w:rPr>
        <w:t>Брестской области</w:t>
      </w:r>
      <w:r w:rsidRPr="00A866E2">
        <w:rPr>
          <w:rFonts w:eastAsia="Courier New"/>
          <w:sz w:val="30"/>
          <w:szCs w:val="30"/>
          <w:shd w:val="clear" w:color="auto" w:fill="FFFFFF"/>
        </w:rPr>
        <w:t xml:space="preserve">, с учетом выделенного финансирования, планируется ввод в эксплуатацию </w:t>
      </w:r>
      <w:r w:rsidRPr="00A866E2">
        <w:rPr>
          <w:rFonts w:eastAsia="Courier New"/>
          <w:b/>
          <w:sz w:val="30"/>
          <w:szCs w:val="30"/>
          <w:shd w:val="clear" w:color="auto" w:fill="FFFFFF"/>
        </w:rPr>
        <w:t>24 станций обезжелезивания воды, 3 очистных сооружений канализации.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0D245D" w:rsidRDefault="00F86452" w:rsidP="000D245D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D611D1" w:rsidRPr="00CF0BE6" w:rsidRDefault="00C22CAA" w:rsidP="000D245D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0D245D" w:rsidRPr="00B76355" w:rsidRDefault="000D245D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</w:p>
    <w:p w:rsidR="000D245D" w:rsidRDefault="000D245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A866E2" w:rsidRDefault="00A866E2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A866E2">
        <w:rPr>
          <w:rFonts w:eastAsia="Courier New"/>
          <w:b/>
          <w:sz w:val="30"/>
          <w:szCs w:val="30"/>
        </w:rPr>
        <w:t>В Брестской области</w:t>
      </w:r>
      <w:r w:rsidRPr="00A866E2">
        <w:t xml:space="preserve"> </w:t>
      </w:r>
      <w:r w:rsidRPr="00A866E2">
        <w:rPr>
          <w:rFonts w:eastAsia="Courier New"/>
          <w:sz w:val="30"/>
          <w:szCs w:val="30"/>
        </w:rPr>
        <w:t xml:space="preserve">для повышения надежности, технологической и экономической эффективности теплоснабжения в 2022 году запланирована и реализуется модернизация </w:t>
      </w:r>
      <w:r w:rsidRPr="00A866E2">
        <w:rPr>
          <w:rFonts w:eastAsia="Courier New"/>
          <w:b/>
          <w:sz w:val="30"/>
          <w:szCs w:val="30"/>
        </w:rPr>
        <w:t>13 газовых котельных</w:t>
      </w:r>
      <w:r w:rsidRPr="00A866E2">
        <w:rPr>
          <w:rFonts w:eastAsia="Courier New"/>
          <w:sz w:val="30"/>
          <w:szCs w:val="30"/>
        </w:rPr>
        <w:t xml:space="preserve">, включая их перевод в автоматический режим работы; модернизация </w:t>
      </w:r>
      <w:r w:rsidRPr="00A866E2">
        <w:rPr>
          <w:rFonts w:eastAsia="Courier New"/>
          <w:b/>
          <w:sz w:val="30"/>
          <w:szCs w:val="30"/>
        </w:rPr>
        <w:t>25 котельных на местных видах топлива</w:t>
      </w:r>
      <w:r w:rsidRPr="00A866E2">
        <w:rPr>
          <w:rFonts w:eastAsia="Courier New"/>
          <w:sz w:val="30"/>
          <w:szCs w:val="30"/>
        </w:rPr>
        <w:t xml:space="preserve"> с установкой более эффективного котельного оборудования;</w:t>
      </w:r>
      <w:r w:rsidRPr="00A866E2">
        <w:rPr>
          <w:rFonts w:eastAsia="Courier New"/>
          <w:sz w:val="30"/>
          <w:szCs w:val="30"/>
        </w:rPr>
        <w:tab/>
        <w:t xml:space="preserve">оптимизация </w:t>
      </w:r>
      <w:r w:rsidRPr="00A866E2">
        <w:rPr>
          <w:rFonts w:eastAsia="Courier New"/>
          <w:b/>
          <w:sz w:val="30"/>
          <w:szCs w:val="30"/>
        </w:rPr>
        <w:t>6 схем теплоснабжения населенных пунктов с ликвидацией неэффективных котельных</w:t>
      </w:r>
      <w:r w:rsidRPr="00A866E2">
        <w:rPr>
          <w:rFonts w:eastAsia="Courier New"/>
          <w:sz w:val="30"/>
          <w:szCs w:val="30"/>
        </w:rPr>
        <w:t>.</w:t>
      </w:r>
    </w:p>
    <w:p w:rsidR="00455482" w:rsidRPr="000D245D" w:rsidRDefault="004A690D" w:rsidP="000D245D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0D245D" w:rsidRDefault="000D245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 xml:space="preserve">Предприятиями ЖКХ </w:t>
      </w:r>
      <w:r w:rsidRPr="00A866E2">
        <w:rPr>
          <w:b/>
          <w:sz w:val="30"/>
          <w:szCs w:val="30"/>
          <w:shd w:val="clear" w:color="auto" w:fill="FFFFFF"/>
        </w:rPr>
        <w:t>Брестской области</w:t>
      </w:r>
      <w:r w:rsidRPr="00A866E2">
        <w:rPr>
          <w:sz w:val="30"/>
          <w:szCs w:val="30"/>
          <w:shd w:val="clear" w:color="auto" w:fill="FFFFFF"/>
        </w:rPr>
        <w:t xml:space="preserve"> за 9 месяцев т.г. заготовлено </w:t>
      </w:r>
      <w:r w:rsidRPr="00A866E2">
        <w:rPr>
          <w:b/>
          <w:sz w:val="30"/>
          <w:szCs w:val="30"/>
          <w:shd w:val="clear" w:color="auto" w:fill="FFFFFF"/>
        </w:rPr>
        <w:t>19,6 тыс. тонн вторичных материальных ресурсов</w:t>
      </w:r>
      <w:r w:rsidRPr="00A866E2">
        <w:rPr>
          <w:sz w:val="30"/>
          <w:szCs w:val="30"/>
          <w:shd w:val="clear" w:color="auto" w:fill="FFFFFF"/>
        </w:rPr>
        <w:t xml:space="preserve"> (далее - BMP), за 2022 г. будет заготовлено 27,2 тыс. тонн BMP.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 xml:space="preserve">Для развития </w:t>
      </w:r>
      <w:r w:rsidRPr="00A866E2">
        <w:rPr>
          <w:b/>
          <w:sz w:val="30"/>
          <w:szCs w:val="30"/>
          <w:shd w:val="clear" w:color="auto" w:fill="FFFFFF"/>
        </w:rPr>
        <w:t>системы сбора и увеличения уровня использования твердых коммунальных отходов</w:t>
      </w:r>
      <w:r w:rsidRPr="00A866E2">
        <w:rPr>
          <w:sz w:val="30"/>
          <w:szCs w:val="30"/>
          <w:shd w:val="clear" w:color="auto" w:fill="FFFFFF"/>
        </w:rPr>
        <w:t xml:space="preserve"> (далее - ТКО) ведется </w:t>
      </w:r>
      <w:r w:rsidRPr="00A866E2">
        <w:rPr>
          <w:b/>
          <w:sz w:val="30"/>
          <w:szCs w:val="30"/>
          <w:shd w:val="clear" w:color="auto" w:fill="FFFFFF"/>
        </w:rPr>
        <w:t>поэтапная реализация</w:t>
      </w:r>
      <w:r w:rsidRPr="00A866E2">
        <w:rPr>
          <w:sz w:val="30"/>
          <w:szCs w:val="30"/>
          <w:shd w:val="clear" w:color="auto" w:fill="FFFFFF"/>
        </w:rPr>
        <w:t xml:space="preserve"> мероприятий Концепции по созданию </w:t>
      </w:r>
      <w:r w:rsidRPr="00A866E2">
        <w:rPr>
          <w:b/>
          <w:sz w:val="30"/>
          <w:szCs w:val="30"/>
          <w:shd w:val="clear" w:color="auto" w:fill="FFFFFF"/>
        </w:rPr>
        <w:t>объектов сортировки и</w:t>
      </w:r>
      <w:r w:rsidRPr="00A866E2">
        <w:rPr>
          <w:sz w:val="30"/>
          <w:szCs w:val="30"/>
          <w:shd w:val="clear" w:color="auto" w:fill="FFFFFF"/>
        </w:rPr>
        <w:t xml:space="preserve"> </w:t>
      </w:r>
      <w:r w:rsidRPr="00A866E2">
        <w:rPr>
          <w:b/>
          <w:sz w:val="30"/>
          <w:szCs w:val="30"/>
          <w:shd w:val="clear" w:color="auto" w:fill="FFFFFF"/>
        </w:rPr>
        <w:t>использования ТКО и полигонов для их захоронения</w:t>
      </w:r>
      <w:r w:rsidRPr="00A866E2">
        <w:rPr>
          <w:sz w:val="30"/>
          <w:szCs w:val="30"/>
          <w:shd w:val="clear" w:color="auto" w:fill="FFFFFF"/>
        </w:rPr>
        <w:t xml:space="preserve"> (далее — Концепция), в соответствии с которой в области </w:t>
      </w:r>
      <w:r w:rsidRPr="00A866E2">
        <w:rPr>
          <w:b/>
          <w:sz w:val="30"/>
          <w:szCs w:val="30"/>
          <w:shd w:val="clear" w:color="auto" w:fill="FFFFFF"/>
        </w:rPr>
        <w:t>определены 6 зон</w:t>
      </w:r>
      <w:r w:rsidRPr="00A866E2">
        <w:rPr>
          <w:sz w:val="30"/>
          <w:szCs w:val="30"/>
          <w:shd w:val="clear" w:color="auto" w:fill="FFFFFF"/>
        </w:rPr>
        <w:t>: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Брестская (г. Брест, Брестский, Жабинковский, Каменецкий, Малоритский районы);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Барановичская (г. Барановичи, Барановичский, Ганцевичский, Ляховичский районы);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lastRenderedPageBreak/>
        <w:t>-</w:t>
      </w:r>
      <w:r w:rsidRPr="00A866E2">
        <w:rPr>
          <w:sz w:val="30"/>
          <w:szCs w:val="30"/>
          <w:shd w:val="clear" w:color="auto" w:fill="FFFFFF"/>
        </w:rPr>
        <w:tab/>
        <w:t>Пинская (г. Пинск, Ивановский, Пинский районы);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Березовская (Березовский, Ивацевичский районы);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Кобринская (Дрогичинский, Кобринский, Пруэюанский районы);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Лунинецкая (Лунинецкий, Столинский районы).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 xml:space="preserve">В </w:t>
      </w:r>
      <w:r w:rsidRPr="00A866E2">
        <w:rPr>
          <w:b/>
          <w:sz w:val="30"/>
          <w:szCs w:val="30"/>
          <w:shd w:val="clear" w:color="auto" w:fill="FFFFFF"/>
        </w:rPr>
        <w:t>настоящее время</w:t>
      </w:r>
      <w:r w:rsidRPr="00A866E2">
        <w:rPr>
          <w:sz w:val="30"/>
          <w:szCs w:val="30"/>
          <w:shd w:val="clear" w:color="auto" w:fill="FFFFFF"/>
        </w:rPr>
        <w:t xml:space="preserve"> ведется строительство цеха по переработке загрязненного полиэтилена и расширение существующего полигона для Брестской зоны обслуживания, реконструкция сортировочного комплекса и корректировка проекта регионального полигона для Барановичской зоны, разработка и корректировка проектов на сортировочный комплекс и полигон соответственно для Пинской зоны.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b/>
          <w:sz w:val="30"/>
          <w:szCs w:val="30"/>
          <w:shd w:val="clear" w:color="auto" w:fill="FFFFFF"/>
        </w:rPr>
        <w:t>На 2023 год в области запланировано</w:t>
      </w:r>
      <w:r w:rsidRPr="00A866E2">
        <w:rPr>
          <w:sz w:val="30"/>
          <w:szCs w:val="30"/>
          <w:shd w:val="clear" w:color="auto" w:fill="FFFFFF"/>
        </w:rPr>
        <w:t>:</w:t>
      </w:r>
    </w:p>
    <w:p w:rsidR="00A866E2" w:rsidRPr="00A866E2" w:rsidRDefault="00A866E2" w:rsidP="00A866E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строительство регионального объекта захоронения ТКО Барановичской зоны обслуживания «Реконструкция полигона ТБО</w:t>
      </w:r>
      <w:r w:rsidR="000C2A32">
        <w:rPr>
          <w:sz w:val="30"/>
          <w:szCs w:val="30"/>
          <w:shd w:val="clear" w:color="auto" w:fill="FFFFFF"/>
        </w:rPr>
        <w:t>»</w:t>
      </w:r>
      <w:r w:rsidRPr="00A866E2">
        <w:rPr>
          <w:sz w:val="30"/>
          <w:szCs w:val="30"/>
          <w:shd w:val="clear" w:color="auto" w:fill="FFFFFF"/>
        </w:rPr>
        <w:t>;</w:t>
      </w:r>
    </w:p>
    <w:p w:rsidR="000C2A32" w:rsidRPr="000C2A32" w:rsidRDefault="00A866E2" w:rsidP="000C2A32">
      <w:pPr>
        <w:ind w:firstLine="567"/>
        <w:jc w:val="both"/>
        <w:rPr>
          <w:sz w:val="30"/>
          <w:szCs w:val="30"/>
          <w:shd w:val="clear" w:color="auto" w:fill="FFFFFF"/>
        </w:rPr>
      </w:pPr>
      <w:r w:rsidRPr="00A866E2">
        <w:rPr>
          <w:sz w:val="30"/>
          <w:szCs w:val="30"/>
          <w:shd w:val="clear" w:color="auto" w:fill="FFFFFF"/>
        </w:rPr>
        <w:t>-</w:t>
      </w:r>
      <w:r w:rsidRPr="00A866E2">
        <w:rPr>
          <w:sz w:val="30"/>
          <w:szCs w:val="30"/>
          <w:shd w:val="clear" w:color="auto" w:fill="FFFFFF"/>
        </w:rPr>
        <w:tab/>
        <w:t>строительство комплекса по сортировке и использованию ТКО для Пинской зоны обслуживания мощностью более 70,0 тыс. тон отходов в год.</w:t>
      </w:r>
    </w:p>
    <w:p w:rsidR="008C04E5" w:rsidRPr="00550545" w:rsidRDefault="008C04E5" w:rsidP="00B76355">
      <w:pPr>
        <w:spacing w:before="120"/>
        <w:jc w:val="center"/>
        <w:rPr>
          <w:b/>
          <w:spacing w:val="-4"/>
          <w:sz w:val="26"/>
          <w:szCs w:val="26"/>
        </w:rPr>
      </w:pPr>
      <w:r w:rsidRPr="00550545">
        <w:rPr>
          <w:b/>
          <w:spacing w:val="-4"/>
          <w:sz w:val="26"/>
          <w:szCs w:val="26"/>
        </w:rPr>
        <w:t xml:space="preserve">2. СОВЕРШЕНСТВОВАНИЕ ТАРИФНОЙ ПОЛИТИКИ </w:t>
      </w:r>
      <w:r w:rsidRPr="00550545">
        <w:rPr>
          <w:b/>
          <w:spacing w:val="-4"/>
          <w:sz w:val="26"/>
          <w:szCs w:val="26"/>
        </w:rPr>
        <w:br/>
        <w:t xml:space="preserve">В СФЕРЕ ОКАЗАНИЯ </w:t>
      </w:r>
      <w:r w:rsidR="001231D7" w:rsidRPr="00550545">
        <w:rPr>
          <w:b/>
          <w:spacing w:val="-4"/>
          <w:sz w:val="26"/>
          <w:szCs w:val="26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0C2A32" w:rsidRPr="000C2A32" w:rsidRDefault="00EB0A71" w:rsidP="000C2A32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  <w:r w:rsidR="000C2A32">
        <w:rPr>
          <w:bCs/>
          <w:sz w:val="30"/>
          <w:szCs w:val="30"/>
        </w:rPr>
        <w:t xml:space="preserve"> </w:t>
      </w:r>
      <w:r w:rsidR="00A23B3D"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0C2A32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550545" w:rsidRDefault="005505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lastRenderedPageBreak/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114EE2" w:rsidP="00B763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342FE"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0C2A32" w:rsidRPr="007A7B68" w:rsidRDefault="00114EE2" w:rsidP="007A7B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342FE"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="004342FE" w:rsidRPr="00B76355">
        <w:rPr>
          <w:sz w:val="30"/>
          <w:szCs w:val="30"/>
          <w:lang w:val="en-US"/>
        </w:rPr>
        <w:t>I</w:t>
      </w:r>
      <w:r w:rsidR="004342FE" w:rsidRPr="00B76355">
        <w:rPr>
          <w:sz w:val="30"/>
          <w:szCs w:val="30"/>
        </w:rPr>
        <w:t xml:space="preserve"> группы.</w:t>
      </w:r>
    </w:p>
    <w:p w:rsidR="0035683C" w:rsidRPr="007A7B68" w:rsidRDefault="008C04E5" w:rsidP="00550545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26"/>
          <w:szCs w:val="26"/>
        </w:rPr>
      </w:pPr>
      <w:r w:rsidRPr="007A7B68">
        <w:rPr>
          <w:b/>
          <w:spacing w:val="-8"/>
          <w:kern w:val="30"/>
          <w:sz w:val="26"/>
          <w:szCs w:val="26"/>
        </w:rPr>
        <w:t>3. УЛУЧШЕНИЕ БЛАГОУСТРОЙСТВА НАСЕЛЕННЫХ ПУНКТОВ</w:t>
      </w:r>
    </w:p>
    <w:p w:rsidR="00114EE2" w:rsidRDefault="008C04E5" w:rsidP="00114EE2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</w:t>
      </w:r>
    </w:p>
    <w:p w:rsidR="005046CB" w:rsidRPr="00B76355" w:rsidRDefault="005046CB" w:rsidP="00114EE2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8E6898" w:rsidRPr="007A7B68" w:rsidRDefault="00596664" w:rsidP="007A7B68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  <w:r w:rsidR="005557B3" w:rsidRPr="007A7B68">
        <w:rPr>
          <w:rFonts w:eastAsia="Courier New"/>
          <w:sz w:val="30"/>
          <w:szCs w:val="30"/>
        </w:rPr>
        <w:t>У</w:t>
      </w:r>
      <w:r w:rsidR="00D96FE7" w:rsidRPr="007A7B68">
        <w:rPr>
          <w:rFonts w:eastAsia="Courier New"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7A7B68">
        <w:rPr>
          <w:rFonts w:eastAsia="Courier New"/>
          <w:sz w:val="30"/>
          <w:szCs w:val="30"/>
        </w:rPr>
        <w:t>,</w:t>
      </w:r>
      <w:r w:rsidR="00D96FE7" w:rsidRPr="007A7B68">
        <w:rPr>
          <w:rFonts w:eastAsia="Courier New"/>
          <w:sz w:val="30"/>
          <w:szCs w:val="30"/>
        </w:rPr>
        <w:t xml:space="preserve"> в первую очередь, каждого из нас.</w:t>
      </w:r>
    </w:p>
    <w:p w:rsidR="00114EE2" w:rsidRDefault="00150AED" w:rsidP="0055054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114EE2">
        <w:rPr>
          <w:rFonts w:eastAsia="Courier New"/>
          <w:sz w:val="30"/>
          <w:szCs w:val="30"/>
        </w:rPr>
        <w:t xml:space="preserve">месячники по благоустройству и озеленению придомовых территорий. </w:t>
      </w:r>
    </w:p>
    <w:p w:rsidR="00550545" w:rsidRDefault="00550545" w:rsidP="00DF549B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4D7E1C" w:rsidRPr="00B76355" w:rsidRDefault="004D7E1C" w:rsidP="00DF549B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DD6C3C" w:rsidRPr="007A7B68" w:rsidRDefault="007A7B68" w:rsidP="007A7B68">
      <w:pPr>
        <w:pStyle w:val="12"/>
        <w:shd w:val="clear" w:color="auto" w:fill="auto"/>
        <w:spacing w:after="0" w:line="240" w:lineRule="auto"/>
        <w:ind w:right="23"/>
        <w:jc w:val="both"/>
        <w:rPr>
          <w:sz w:val="26"/>
          <w:szCs w:val="26"/>
        </w:rPr>
      </w:pPr>
      <w:r w:rsidRPr="007A7B68">
        <w:rPr>
          <w:sz w:val="26"/>
          <w:szCs w:val="26"/>
        </w:rPr>
        <w:t xml:space="preserve">4. </w:t>
      </w:r>
      <w:r w:rsidR="00DD6C3C" w:rsidRPr="007A7B68">
        <w:rPr>
          <w:sz w:val="26"/>
          <w:szCs w:val="26"/>
        </w:rPr>
        <w:t xml:space="preserve">ИСПОЛЬЗОВАНИЕ </w:t>
      </w:r>
      <w:r w:rsidRPr="007A7B68">
        <w:rPr>
          <w:sz w:val="26"/>
          <w:szCs w:val="26"/>
        </w:rPr>
        <w:t xml:space="preserve"> </w:t>
      </w:r>
      <w:r w:rsidR="00DD6C3C" w:rsidRPr="007A7B68">
        <w:rPr>
          <w:sz w:val="26"/>
          <w:szCs w:val="26"/>
        </w:rPr>
        <w:t>ИНФОРМАЦИОННЫХ ТЕХНОЛОГИЙ В СФЕРЕ ЖКХ</w:t>
      </w:r>
      <w:r w:rsidR="00FA32EA" w:rsidRPr="007A7B68">
        <w:rPr>
          <w:sz w:val="26"/>
          <w:szCs w:val="26"/>
        </w:rPr>
        <w:t>. РАБОТА С ОБРАЩЕНИЯМИ ГРАЖДАН И ЮРИДИЧЕСКИХ ЛИЦ</w:t>
      </w:r>
    </w:p>
    <w:p w:rsidR="00A866E2" w:rsidRPr="00DF549B" w:rsidRDefault="00A866E2" w:rsidP="00A866E2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DF549B">
        <w:rPr>
          <w:sz w:val="30"/>
          <w:szCs w:val="30"/>
        </w:rPr>
        <w:t>Для улучшения качества обслуживания населения в Брестской области функционирует единый областной Контакт-центр с коротким номером 115.</w:t>
      </w:r>
    </w:p>
    <w:p w:rsidR="00A866E2" w:rsidRPr="00A866E2" w:rsidRDefault="00A866E2" w:rsidP="00A866E2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A866E2">
        <w:rPr>
          <w:sz w:val="30"/>
          <w:szCs w:val="30"/>
        </w:rPr>
        <w:t xml:space="preserve">На сегодняшний день у населения Брестской области имеется возможность оставить свою заявку по множеству видов работ, как по короткому номеру 115, так и с </w:t>
      </w:r>
      <w:r w:rsidRPr="00A866E2">
        <w:rPr>
          <w:b/>
          <w:sz w:val="30"/>
          <w:szCs w:val="30"/>
        </w:rPr>
        <w:t>использованием мобильного приложения «Моя Республика. 115.бел»</w:t>
      </w:r>
      <w:r w:rsidRPr="00A866E2">
        <w:rPr>
          <w:sz w:val="30"/>
          <w:szCs w:val="30"/>
        </w:rPr>
        <w:t>. Приложение позволяет зарегистрировавшимся пользователям видеть данные об отключениях ЖКУ по выбранным адресам.</w:t>
      </w:r>
    </w:p>
    <w:p w:rsidR="007A7B68" w:rsidRDefault="00A866E2" w:rsidP="007A7B68">
      <w:pPr>
        <w:pStyle w:val="aa"/>
        <w:ind w:left="0" w:firstLine="709"/>
        <w:jc w:val="both"/>
        <w:rPr>
          <w:sz w:val="30"/>
          <w:szCs w:val="30"/>
        </w:rPr>
      </w:pPr>
      <w:r w:rsidRPr="00A866E2">
        <w:rPr>
          <w:sz w:val="30"/>
          <w:szCs w:val="30"/>
        </w:rPr>
        <w:t xml:space="preserve">По итогам работы за 9 месяцев т.г в целом по области </w:t>
      </w:r>
      <w:r w:rsidRPr="00A866E2">
        <w:rPr>
          <w:b/>
          <w:sz w:val="30"/>
          <w:szCs w:val="30"/>
        </w:rPr>
        <w:t xml:space="preserve">показатель по уменьшению претензий на качество оказываемых ЖКУ составил </w:t>
      </w:r>
      <w:r w:rsidR="007A7B68">
        <w:rPr>
          <w:b/>
          <w:sz w:val="30"/>
          <w:szCs w:val="30"/>
        </w:rPr>
        <w:t xml:space="preserve">   </w:t>
      </w:r>
      <w:r w:rsidRPr="00A866E2">
        <w:rPr>
          <w:b/>
          <w:sz w:val="30"/>
          <w:szCs w:val="30"/>
        </w:rPr>
        <w:t>14,4 %, при плане 1,5 %</w:t>
      </w:r>
      <w:r w:rsidRPr="00A866E2">
        <w:rPr>
          <w:sz w:val="30"/>
          <w:szCs w:val="30"/>
        </w:rPr>
        <w:t xml:space="preserve">. Уменьшение претензий на качество оказываемых ЖКУ также ожидается по итогам работы за 2022 </w:t>
      </w:r>
      <w:r w:rsidR="00AA6652" w:rsidRPr="00B76355">
        <w:rPr>
          <w:sz w:val="30"/>
          <w:szCs w:val="30"/>
        </w:rPr>
        <w:t xml:space="preserve"> </w:t>
      </w:r>
    </w:p>
    <w:p w:rsidR="0068764F" w:rsidRPr="007A7B68" w:rsidRDefault="0068764F" w:rsidP="007A7B68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b/>
          <w:sz w:val="30"/>
          <w:szCs w:val="30"/>
        </w:rPr>
        <w:t>За 2021 год</w:t>
      </w:r>
      <w:r w:rsidRPr="00B76355">
        <w:rPr>
          <w:sz w:val="30"/>
          <w:szCs w:val="30"/>
        </w:rPr>
        <w:t xml:space="preserve"> в </w:t>
      </w:r>
      <w:r w:rsidR="00ED5653" w:rsidRPr="00B76355">
        <w:rPr>
          <w:sz w:val="30"/>
          <w:szCs w:val="30"/>
        </w:rPr>
        <w:t xml:space="preserve">МЖКХ </w:t>
      </w:r>
      <w:r w:rsidRPr="00B76355">
        <w:rPr>
          <w:sz w:val="30"/>
          <w:szCs w:val="30"/>
        </w:rPr>
        <w:t xml:space="preserve">и в организации ЖКХ поступило около </w:t>
      </w:r>
      <w:r w:rsidRPr="00B76355">
        <w:rPr>
          <w:b/>
          <w:sz w:val="30"/>
          <w:szCs w:val="30"/>
        </w:rPr>
        <w:t>70 тыс. обращений граждан</w:t>
      </w:r>
      <w:r w:rsidRPr="00B76355">
        <w:rPr>
          <w:sz w:val="30"/>
          <w:szCs w:val="30"/>
        </w:rPr>
        <w:t xml:space="preserve">. Это примерно на 3% меньше, чем в 2020 году. </w:t>
      </w:r>
    </w:p>
    <w:p w:rsidR="007A7B68" w:rsidRDefault="00051F2F" w:rsidP="007A7B68">
      <w:pPr>
        <w:ind w:firstLine="709"/>
        <w:jc w:val="both"/>
        <w:rPr>
          <w:spacing w:val="-6"/>
          <w:sz w:val="30"/>
          <w:szCs w:val="30"/>
        </w:rPr>
      </w:pPr>
      <w:r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 xml:space="preserve">. </w:t>
      </w:r>
    </w:p>
    <w:p w:rsidR="00AA6652" w:rsidRPr="00B76355" w:rsidRDefault="00AA6652" w:rsidP="007A7B68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  <w:r w:rsidR="00DF549B">
        <w:rPr>
          <w:sz w:val="30"/>
          <w:szCs w:val="30"/>
        </w:rPr>
        <w:t xml:space="preserve"> </w:t>
      </w:r>
    </w:p>
    <w:p w:rsidR="008C04E5" w:rsidRPr="00B76355" w:rsidRDefault="00DF549B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</w:t>
      </w:r>
      <w:r w:rsidRPr="00B76355">
        <w:rPr>
          <w:rFonts w:eastAsia="Courier New"/>
          <w:spacing w:val="-6"/>
          <w:sz w:val="30"/>
          <w:szCs w:val="30"/>
        </w:rPr>
        <w:t xml:space="preserve">на семинаре-совещании </w:t>
      </w:r>
      <w:r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spacing w:val="-4"/>
          <w:sz w:val="30"/>
          <w:szCs w:val="30"/>
        </w:rPr>
        <w:t>подчеркнул:</w:t>
      </w:r>
      <w:r w:rsidR="00D641B1" w:rsidRPr="007A7B68">
        <w:rPr>
          <w:rFonts w:eastAsia="Courier New"/>
          <w:spacing w:val="-4"/>
          <w:sz w:val="30"/>
          <w:szCs w:val="30"/>
        </w:rPr>
        <w:t>:</w:t>
      </w:r>
      <w:r w:rsidR="00D641B1" w:rsidRPr="007A7B68">
        <w:rPr>
          <w:rFonts w:eastAsia="Courier New"/>
          <w:spacing w:val="-4"/>
          <w:sz w:val="30"/>
          <w:szCs w:val="30"/>
        </w:rPr>
        <w:t xml:space="preserve"> </w:t>
      </w:r>
      <w:r w:rsidR="00455482" w:rsidRPr="007A7B68">
        <w:rPr>
          <w:rFonts w:eastAsia="Courier New"/>
          <w:spacing w:val="-4"/>
          <w:sz w:val="30"/>
          <w:szCs w:val="30"/>
        </w:rPr>
        <w:t>”</w:t>
      </w:r>
      <w:r w:rsidR="008C04E5" w:rsidRPr="007A7B68">
        <w:rPr>
          <w:rFonts w:eastAsia="Courier New"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7A7B68">
        <w:rPr>
          <w:rFonts w:eastAsia="Courier New"/>
          <w:sz w:val="30"/>
          <w:szCs w:val="30"/>
        </w:rPr>
        <w:t xml:space="preserve"> диалога власти с </w:t>
      </w:r>
      <w:r w:rsidR="008C04E5" w:rsidRPr="007A7B68">
        <w:rPr>
          <w:rFonts w:eastAsia="Courier New"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7A7B68">
        <w:rPr>
          <w:rFonts w:eastAsia="Courier New"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="00D641B1" w:rsidRPr="00B76355">
        <w:rPr>
          <w:rFonts w:eastAsia="Courier New"/>
          <w:sz w:val="30"/>
          <w:szCs w:val="30"/>
        </w:rPr>
        <w:t>.</w:t>
      </w:r>
      <w:bookmarkStart w:id="0" w:name="_GoBack"/>
      <w:bookmarkEnd w:id="0"/>
    </w:p>
    <w:sectPr w:rsidR="008C04E5" w:rsidRPr="00B76355" w:rsidSect="000D245D">
      <w:headerReference w:type="default" r:id="rId8"/>
      <w:footerReference w:type="even" r:id="rId9"/>
      <w:pgSz w:w="11906" w:h="16838"/>
      <w:pgMar w:top="709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F8" w:rsidRDefault="008F6FF8" w:rsidP="0012441B">
      <w:r>
        <w:separator/>
      </w:r>
    </w:p>
  </w:endnote>
  <w:endnote w:type="continuationSeparator" w:id="0">
    <w:p w:rsidR="008F6FF8" w:rsidRDefault="008F6FF8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E2" w:rsidRDefault="00A866E2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6E2" w:rsidRDefault="00A866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F8" w:rsidRDefault="008F6FF8" w:rsidP="0012441B">
      <w:r>
        <w:separator/>
      </w:r>
    </w:p>
  </w:footnote>
  <w:footnote w:type="continuationSeparator" w:id="0">
    <w:p w:rsidR="008F6FF8" w:rsidRDefault="008F6FF8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E2" w:rsidRPr="004D559B" w:rsidRDefault="00A866E2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550545">
      <w:rPr>
        <w:noProof/>
        <w:sz w:val="30"/>
        <w:szCs w:val="30"/>
      </w:rPr>
      <w:t>9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2A32"/>
    <w:rsid w:val="000C3BF0"/>
    <w:rsid w:val="000C43C7"/>
    <w:rsid w:val="000D245D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4EE2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545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A7B68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0AA5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90E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8F6FF8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0D9E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6E2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0693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1115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274D9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A4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549B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D05DF"/>
  <w15:docId w15:val="{195C00C6-373D-4B03-A173-AEDC131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AE32-EDEE-4C6C-B86E-EA74720F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1</cp:lastModifiedBy>
  <cp:revision>11</cp:revision>
  <cp:lastPrinted>2022-10-27T10:04:00Z</cp:lastPrinted>
  <dcterms:created xsi:type="dcterms:W3CDTF">2022-11-02T13:07:00Z</dcterms:created>
  <dcterms:modified xsi:type="dcterms:W3CDTF">2022-11-09T12:08:00Z</dcterms:modified>
</cp:coreProperties>
</file>